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A/45/2023 vom 22. März 2023</w:t>
      </w:r>
    </w:p>
    <w:p>
      <w:r>
        <w:t>GE Cour de justice, 2023-03-22, FR</w:t>
      </w:r>
    </w:p>
    <w:p>
      <w:r>
        <w:rPr>
          <w:b/>
        </w:rPr>
        <w:t xml:space="preserve">Quelle: </w:t>
      </w:r>
      <w:r>
        <w:t>https://mcp.opencaselaw.ch/entscheid/ge_gerichte_A_45_2023</w:t>
      </w:r>
    </w:p>
    <w:p>
      <w:r>
        <w:t>FR: GE_GERICHTE A/45/2023 du 22 mars 2023</w:t>
      </w:r>
    </w:p>
    <w:p>
      <w:r>
        <w:t>IT: GE_GERICHTE A/45/2023 del 22 marzo 2023</w:t>
      </w:r>
    </w:p>
    <w:p>
      <w:pPr>
        <w:pStyle w:val="Heading2"/>
      </w:pPr>
      <w:r>
        <w:t>Erwägungen</w:t>
      </w:r>
    </w:p>
    <w:p>
      <w:r>
        <w:rPr>
          <w:b/>
        </w:rPr>
        <w:t>E. 2</w:t>
      </w:r>
    </w:p>
    <w:p>
      <w:r>
        <w:t>Bien que la sanction ait été exécutée, le recourant conserve un intérêt actuel à l'examen de la légalité de celle-ci, dès lors qu'il pourrait être tenu compte de la sanction contestée en cas de nouveau problème disciplinaire ou de demande de libération conditionnelle (ATF 139 I 206 consid. 1.1 ; ATA/498/2022 du 11 mai 2022 consid. 2 ; ATA/50/2022 du 18 janvier 2022 consid. 2).![endif]&gt;![if&gt; Le recours est donc recevable.</w:t>
      </w:r>
    </w:p>
    <w:p>
      <w:r>
        <w:rPr>
          <w:b/>
        </w:rPr>
        <w:t>E. 3</w:t>
      </w:r>
    </w:p>
    <w:p>
      <w:r>
        <w:t>Seul peut être examiné le bien fondé de la sanction prononcée à l’égard du recourant. La question de savoir si les agents de détention ont fait preuve d’un usage disproportionné de la force lorsqu’ils l’ont amené au sol ne fait pas l’objet du litige, la décision querellée ne portant pas sur ce point.![endif]&gt;![if&gt;</w:t>
      </w:r>
    </w:p>
    <w:p>
      <w:r>
        <w:rPr>
          <w:b/>
        </w:rPr>
        <w:t>E. 4</w:t>
      </w:r>
    </w:p>
    <w:p>
      <w:r>
        <w:t>Le recourant cite, à titre de preuve, son audition.![endif]&gt;![if&gt;</w:t>
      </w:r>
    </w:p>
    <w:p>
      <w:r>
        <w:rPr>
          <w:b/>
        </w:rPr>
        <w:t>E. 4.1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140 I 285 consid. 6.3.1 ; 134 I 140 consid. 5.3).![endif]&gt;![if&gt;</w:t>
      </w:r>
    </w:p>
    <w:p>
      <w:r>
        <w:rPr>
          <w:b/>
        </w:rPr>
        <w:t>E. 4.2</w:t>
      </w:r>
    </w:p>
    <w:p>
      <w:r>
        <w:t>En l'espèce, le recourant a été entendu par la prison, a pu présenter ses arguments dans son recours et a fait usage de son droit de réplique. Il n’explique pas quels autres éléments que ceux avancés dans son recours son audition permettrait d’établir. Pour le surplus, le dossier est complet et permet à la chambre de céans de trancher le litige sans procéder à d’autres actes d’instruction. ![endif]&gt;![if&gt; Il ne sera ainsi pas procédé à son audition.</w:t>
      </w:r>
    </w:p>
    <w:p>
      <w:r>
        <w:rPr>
          <w:b/>
        </w:rPr>
        <w:t>E. 5</w:t>
      </w:r>
    </w:p>
    <w:p>
      <w:r>
        <w:t>Dans un grief de nature formelle, le recourant se plaint de la violation de son droit d’être entendu.![endif]&gt;![if&gt;</w:t>
      </w:r>
    </w:p>
    <w:p>
      <w:r>
        <w:rPr>
          <w:b/>
        </w:rPr>
        <w:t>E. 5.1</w:t>
      </w:r>
    </w:p>
    <w:p>
      <w:r>
        <w:t>L’art. 29 al. 2 de la Constitution fédérale de la Confédération suisse du 18 avril 1999 (Cst. - RS 101) comprend le droit pour l'intéressé de s'exprimer sur les éléments pertinents avant qu'une décision ne soit prise touchant sa situation juridique (ATF 133 I 270 consid. 3.1 ; 132 II 485 consid. 3.2). L’art. 47 al. 2 règlement sur le régime intérieur de la prison et le statut des personnes incarcérées du 30 septembre 1985 (RRIP - F 1 50.04) prévoit expressément qu’avant le prononcé de la sanction, le détenu doit être informé des faits qui lui sont reprochés et être entendu.![endif]&gt;![if&gt;</w:t>
      </w:r>
    </w:p>
    <w:p>
      <w:r>
        <w:rPr>
          <w:b/>
        </w:rPr>
        <w:t>E. 5.2</w:t>
      </w:r>
    </w:p>
    <w:p>
      <w:r>
        <w:t>La jurisprudence de la chambre de céans admet qu'en cas d'incident nécessitant une sanction se produisant après les horaires ordinaires d'activité de la prison, par exemple après 18h00, le droit d'être entendu puisse s'exercer de manière un peu différée, soit en particulier le lendemain matin à la première heure, ceci en raison des besoins du service, notamment dans les cas où l'autorité décisionnaire est le directeur ou un autre membre gradé du personnel, dont le nombre est restreint dès le soir ou en cas d’urgence ( ATA/318/2020 du 31 mars 2020 consid. 4b ; ATA/1846/2019 du 20 décembre 2019 consid. 3c ; ATA/1597/2019 du 29 octobre 2019 consid. 2b ; ATA/500/2017 du 2 mai 2017 consid. 6a).![endif]&gt;![if&gt;</w:t>
      </w:r>
    </w:p>
    <w:p>
      <w:r>
        <w:rPr>
          <w:b/>
        </w:rPr>
        <w:t>E. 5.3</w:t>
      </w:r>
    </w:p>
    <w:p>
      <w:r>
        <w:t>En l’espèce, les faits reprochés ont eu lieu le 23 novembre 2022, vers 12h40, soit pendant la pause de midi. Le gardien a indiqué dans son rapport du même jour que le gardien chef adjoint avait ordonné le transfert du détenu en cellule forte. Le même jour à 14h30, le gardien-chef adjoint a rendu la décision de placement en cellule forte du recourant. Selon la décision de sanction et le rapport d’incident, le recourant a pu s’exprimer le jour même à 14h25, et la sanction lui a été notifiée à 18h30. À teneur du rapport d’incident du même jour, le recourant avait reconnu les faits.![endif]&gt;![if&gt; Au vu de ce qui précède, le recourant a pu se déterminer sur la sanction litigieuse peu après avoir été conduit en cellule forte. Par ailleurs, il a pu, dans le cadre du présent recours, assisté d’un avocat, faire valoir sa version des faits et ses arguments. Ainsi, quand bien même une violation de son droit d’être entendu aurait dû être admise, celle-ci aurait été réparée dans la procédure de recours. Le grief sera donc rejeté.</w:t>
      </w:r>
    </w:p>
    <w:p>
      <w:r>
        <w:rPr>
          <w:b/>
        </w:rPr>
        <w:t>E. 6</w:t>
      </w:r>
    </w:p>
    <w:p>
      <w:r>
        <w:t>Le recourant conteste les faits reprochés ainsi que le respect du principe de la proportionnalité.![endif]&gt;![if&gt;</w:t>
      </w:r>
    </w:p>
    <w:p>
      <w:r>
        <w:rPr>
          <w:b/>
        </w:rPr>
        <w:t>E. 6.1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w:t>
      </w:r>
    </w:p>
    <w:p>
      <w:r>
        <w:rPr>
          <w:b/>
        </w:rPr>
        <w:t>E. 6.2</w:t>
      </w:r>
    </w:p>
    <w:p>
      <w:r>
        <w:t>Les sanctions disciplinaires sont régies par les principes généraux du droit pénal, de sorte qu'elles ne sauraient être prononcées en l'absence d'une faute ( ATA/412/2022 du 13 avril 2022 consid. 4a ; ATA/43/2019 du 15 janvier 2019 ; ATA/1108/2018 du 17 octobre 2018 et les références citées). ![endif]&gt;![if&gt;</w:t>
      </w:r>
    </w:p>
    <w:p>
      <w:r>
        <w:rPr>
          <w:b/>
        </w:rPr>
        <w:t>E. 6.3</w:t>
      </w:r>
    </w:p>
    <w:p>
      <w:r>
        <w:t>Les détenus doivent observer les dispositions du RRIP, les instructions du directeur général de l'office cantonal de la détention ainsi que les ordres du directeur et du personnel pénitentiaire (art. 42 RRIP). En toute circonstance, ils doivent observer une attitude correcte à l'égard du personnel pénitentiaire, des autres personnes incarcérées et des tiers (art. 44 RRIP). Il est interdit aux détenus, d’une façon générale, de troubler l’ordre et la tranquillité de l’établissement (art. 45 let. h RRIP). En tout temps, la direction peut ordonner des fouilles corporelles et une inspection des locaux (art. 46 RRIP).![endif]&gt;![if&gt;</w:t>
      </w:r>
    </w:p>
    <w:p>
      <w:r>
        <w:rPr>
          <w:b/>
        </w:rPr>
        <w:t>E. 6.4</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RRIP).![endif]&gt;![if&gt;</w:t>
      </w:r>
    </w:p>
    <w:p>
      <w:r>
        <w:rPr>
          <w:b/>
        </w:rPr>
        <w:t>E. 6.5</w:t>
      </w:r>
    </w:p>
    <w:p>
      <w:r>
        <w:t>À teneur de l'art. 47 al. 3 RRIP, le directeur ou, en son absence, son suppléant sont compétents pour prononcer a) la suppression de visite pour 15 jours au plus, b) la suppression des promenades collectives, c) la suppression des activités sportives, d) la suppression d’achat pour 15 jours au plus, e) suppression de l’usage des moyens audiovisuels pour 15 jours au plus f) la privation de travail ou encore g) le placement en cellule forte pour 10 jours au plus. Le directeur peut déléguer ces compétences à un membre du personnel gradé (art. 47 al. 7 RRIP).![endif]&gt;![if&gt;</w:t>
      </w:r>
    </w:p>
    <w:p>
      <w:r>
        <w:rPr>
          <w:b/>
        </w:rPr>
        <w:t>E. 6.6</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ATA/219/2020 du 25 février 2020 consid. 6d et la référence citée).![endif]&gt;![if&gt;</w:t>
      </w:r>
    </w:p>
    <w:p>
      <w:r>
        <w:rPr>
          <w:b/>
        </w:rPr>
        <w:t>E. 6.7</w:t>
      </w:r>
    </w:p>
    <w:p>
      <w:r>
        <w:t>En matière de sanctions disciplinaires, l'autorité dispose d'un large pouvoir d'appréciation, le pouvoir d'examen de la chambre administrative se limitant à l'excès ou l'abus de ce pouvoir d'appréciation (art. 61 al. 2 LPA ; ATA/97/2020 précité consid. 4f et les références citées).![endif]&gt;![if&gt;</w:t>
      </w:r>
    </w:p>
    <w:p>
      <w:r>
        <w:rPr>
          <w:b/>
        </w:rPr>
        <w:t>E. 6.8</w:t>
      </w:r>
    </w:p>
    <w:p>
      <w:r>
        <w:t>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 du 3 novembre 2016 - LOPP - F 1 50), le même raisonnement peut être appliqué aux rapports établis par ces derniers ( ATA/284/2020 précité consid. 4f et les références citées).![endif]&gt;![if&gt;</w:t>
      </w:r>
    </w:p>
    <w:p>
      <w:r>
        <w:rPr>
          <w:b/>
        </w:rPr>
        <w:t>E. 7.1</w:t>
      </w:r>
    </w:p>
    <w:p>
      <w:r>
        <w:t>En l’espèce, le recourant fait valoir qu’il n’aurait pas compris les instructions du personnel pénitentiaire en raison de son manque de maîtrise de la langue française. Cette affirmation est cependant peu crédible. En effet, il ressort de l’enregistrement des images et sons par la bodycam d’un agent de détention, que le recourant comprenait les instructions des agents. Par ailleurs, aucun des rapports médicaux ou de l’infirmière de la prison ne mentionne la présence d’un interprète. En outre, le Dr B______ a noté que l’expression orale du recourant était cohérente, bien que ralentie. Dans ces conditions, il n’y a pas lieu de s’écarter du rapport d’incident qui retient que le recourant ne s’est pas conformé aux instructions données par le personnel pénitentiaire lors de la fouille protocolaire effectuée au moment du retour des HUG.![endif]&gt;![if&gt; Par ailleurs, aucun élément ne permet de retenir que l’état psychique du recourant l’aurait empêché de comprendre les instructions reçues ou qu’il se serait trouvé dans une phase de décompensation. Certes, il suivait un traitement anxiolytique et aux benzodiazépines. Il présentait des tensions internes et avait, selon ses dires, tendance à facilement s’énerver. Les rapports médicaux au dossier ne mentionnent cependant pas de troubles de la compréhension ni de signes de délire. Il convient ainsi de retenir que le recourant était capable de comprendre les instructions reçues et en mesure de s’y conformer. Il n’est pas contesté qu’il n’a pas donné suite aux instructions reçues lors de la fouille protocolaire. Or, ce refus a nécessité l’usage de la force pour procéder à la fouille. Le fait de refuser d’obtempérer aux instructions données afin de permettre la fouille du détenu est susceptible de troubler l'ordre, la sécurité et la tranquillité de l'établissement. De ce fait, le recourant a violé ses obligations de détenu, telles que figurant aux art. 42 ss RRIP, en particulier aux art. 42, 44 et 45 let. h et 46 RRIP. Il s'ensuit que l'autorité intimée était fondée à le sanctionner pour ces faits.</w:t>
      </w:r>
    </w:p>
    <w:p>
      <w:r>
        <w:rPr>
          <w:b/>
        </w:rPr>
        <w:t>E. 7.2</w:t>
      </w:r>
    </w:p>
    <w:p>
      <w:r>
        <w:t>Se pose encore la question de savoir si la sanction respecte le principe de la proportionnalité. Comme le relève le recourant, la sanction de cellule forte est la forme de sanction la plus sévère prévue par le RRIP. Bien que sa détention soit récente, il faut porter à son crédit qu’il n’a pas d’antécédents disciplinaires. Il ne conteste pas avoir opposé de la résistance à sa fouille protocolaire. En revanche, il ressort des images prises par la bodycam que le recourant a coopéré lors de sa mise en cellule forte. Au vu de l’ensemble de ces circonstances et bien que l’autorité intimée jouisse d’un large pouvoir d’appréciation en la matière, la sanction de deux jours de cellule forte ne respecte plus le principe de la proportionnalité. Une sanction d’un jour de cellule forte paraît plus appropriée, permettant à la fois au recourant de prendre conscience de l’importance de se soumettre aux instructions données par le personnel pénitentiaire et de tenir compte de l’absence d’antécédents disciplinaires. Le recours sera ainsi admis dans cette mesure et l'illicéité de la sanction constatée.</w:t>
      </w:r>
    </w:p>
    <w:p>
      <w:r>
        <w:rPr>
          <w:b/>
        </w:rPr>
        <w:t>E. 8</w:t>
      </w:r>
    </w:p>
    <w:p>
      <w:r>
        <w:t>La procédure étant gratuite, il ne sera pas perçu d’émolument. Le recourant obtenant partiellement gain de cause, une indemnité de procédure, réduite, de CHF 1'000.- lui sera allouée, à la charge de l’État de Genève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