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A/45/2011 vom 24. Februar 2011</w:t>
      </w:r>
    </w:p>
    <w:p>
      <w:r>
        <w:t>GE Cour de justice, 2011-02-24, FR</w:t>
      </w:r>
    </w:p>
    <w:p>
      <w:r>
        <w:rPr>
          <w:b/>
        </w:rPr>
        <w:t xml:space="preserve">Quelle: </w:t>
      </w:r>
      <w:r>
        <w:t>https://mcp.opencaselaw.ch/entscheid/ge_gerichte_A_45_2011</w:t>
      </w:r>
    </w:p>
    <w:p>
      <w:r>
        <w:t>FR: GE_GERICHTE A/45/2011 du 24 février 2011</w:t>
      </w:r>
    </w:p>
    <w:p>
      <w:r>
        <w:t>IT: GE_GERICHTE A/45/2011 del 24 febbraio 2011</w:t>
      </w:r>
    </w:p>
    <w:p>
      <w:pPr>
        <w:pStyle w:val="Heading2"/>
      </w:pPr>
      <w:r>
        <w:t>Volltext</w:t>
      </w:r>
    </w:p>
    <w:p>
      <w:r>
        <w:t>Genève Cour de justice (Cour de droit public) Chambre des assurances sociales 24.02.2011 A/45/2011</w:t>
      </w:r>
    </w:p>
    <w:p>
      <w:r>
        <w:t>A/45/2011 ATAS/203/2011 du 24.02.2011 ( AI ) , PARTIELMNT ADMIS En fait En droit RÉPUBLIQUE ET CANTON DE GENÈVE POUVOIR JUDICIAIRE A/45/2011 ATAS/203/2011 COUR DE JUSTICE Chambre des assurances sociales 3ème Chambre Arrêt du 24 février 2011 En la cause Madame S__________, domiciliée à Genève, comparant avec élection de domicile en l'étude de Maître CHERVAZ Damien recourante contre OFFICE DE L'ASSURANCE-INVALIDITE DU CANTON DE GENEVE, sis rue de Lyon 97, Genève intimé EN FAIT Par décision du 22 novembre 2010, l'OFFICE DE L'ASSURANCE-INVALIDITE DU CANTON DE GENEVE (ci-après l'OAI) a nié le droit de Madame S__________ a toute prestation de sa part. L'OAI a brièvement motivé sa décision par le fait qu'il avait soumis le dossier de l'assuré à son service médical régional (SMR) et que ce dernier avait émis l'avis que depuis le mois de janvier 2010, l'intéressée aurait pu reprendre une activité adaptée à son état de santé. Par écriture du 10 janvier 2011, l'assurée, représentée par un avocat, a interjeté recours contre cette décision en concluant principalement à l'octroi d'une demi-rente d'invalidité, subsidiairement au renvoi de la cause à l'OAI pour nouvelle décision après instruction complémentaire. Invité à se déterminer, l'intimé, dans sa réponse du 7 février 2011, a indiqué à la Cour de céans qu'il avait soumis les dernières pièces médicales produites par l'assurée au SMR, à l'avis duquel il s'est référé. L'intimé a produit en annexe à sa prise de position un avis émis le 20 janvier 2011 par le Dr A__________, du SMR. Ce dernier y constate qu'ont été produits à l'appui du recours plusieurs rapports médicaux faisant état d'éléments médicaux dont le SMR n'avait pas connaissance lorsqu'il a rendu son premier avis. Ainsi, le Dr B__________ signale l'existence d'un symptôme douloureux chronique, le Dr C__________ atteste que sa patiente souffre d'un état dépressif sévère ayant nécessité dès février 2009 un traitement spécifique et une prise en charge spécialisée auprès du Dr D__________ et ce dernier confirme le diagnostic d'épisode dépressif sévère sans symptôme psychotiques et atteste d'une incapacité de travail de 50 % due à l'asthénie de sa patiente mais également à des troubles de la mémoire et de la concentration dont il souligne qu'ils la gênent considérablement même dans l'activité de femme de ménage. Le Dr A__________ en tire la conclusion que l'instruction du dossier doit être complétée. EN DROIT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 Par ailleurs, la loi fédérale du 16 décembre 2005 modifiant la loi fédérale sur l'assurance-invalidité est entrée en vigueur le 1er juillet 2006 (RO 2006 2003), apportant des modifications qui concernent notamment la procédure conduite devant la Chambre de céans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les atteintes à la santé de la recourante entraînent une perte de gain susceptible de lui ouvrir droit à des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 En l'espèce, il apparaît manifeste que des investigations médicales complémentaires sont nécessaires sur le plan psychique puisqu'ainsi que l'a constaté le médecin du SMR, ce plan-là n'a pas été suffisamment investigué. La cause n'étant, de l'avis de la Cour de céans comme des parties, pas suffisamment instruite pour permettre de se déterminer en connaissance de cause, il convient d’admettre partiellement le recours et de renvoyer la cause à l’intimé pour instruction complémentaire puis nouvelle décision. Il est rappelé que le recourant qui obtient gain de cause a droit au remboursement de ses frais et dépens ainsi que de ceux de son mandataire. Or, tel est le cas en l’espèce dès lors qu’il est avéré que l’instruction du dossier nécessite d’être complétée. PAR CES MOTIFS, LA CHAMBRE DES ASSURANCES SOCIALES : Statuant A la forme : Déclare le recours recevable. Au fond : L’admet partiellement au sens des considérants. Annule la décision du 22 novembre 2010. Renvoie la cause à l’intimé pour instruction complémentaire et nouvelle décision. Condamne l’intimé à verser à la recourante la somme de 800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