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A/458/2019 vom 18. Mai 2021</w:t>
      </w:r>
    </w:p>
    <w:p>
      <w:r>
        <w:t>GE Cour de justice, 2021-05-18, FR</w:t>
      </w:r>
    </w:p>
    <w:p>
      <w:r>
        <w:rPr>
          <w:b/>
        </w:rPr>
        <w:t xml:space="preserve">Quelle: </w:t>
      </w:r>
      <w:r>
        <w:t>https://mcp.opencaselaw.ch/entscheid/ge_gerichte_A_458_2019</w:t>
      </w:r>
    </w:p>
    <w:p>
      <w:r>
        <w:t>FR: GE_GERICHTE A/458/2019 du 18 mai 2021</w:t>
      </w:r>
    </w:p>
    <w:p>
      <w:r>
        <w:t>IT: GE_GERICHTE A/458/2019 del 18 maggio 2021</w:t>
      </w:r>
    </w:p>
    <w:p>
      <w:pPr>
        <w:pStyle w:val="Heading2"/>
      </w:pPr>
      <w:r>
        <w:t>Erwägungen</w:t>
      </w:r>
    </w:p>
    <w:p>
      <w:r>
        <w:rPr>
          <w:b/>
        </w:rPr>
        <w:t>E. 1</w:t>
      </w:r>
    </w:p>
    <w:p>
      <w:r>
        <w:t>et celles aménagées dans les combles ne respectaient pas ces conditions, ne pouvant en aucun cas être autorisées en tant que pièces habitables. 6) Par décision du 14 décembre 2018 dans la procédure I-6'692, notifiée une seconde fois le 10 janvier 2019, le département a exigé la remise en conformité de la chambre n o</w:t>
      </w:r>
    </w:p>
    <w:p>
      <w:r>
        <w:rPr>
          <w:b/>
        </w:rPr>
        <w:t>E. 2</w:t>
      </w:r>
    </w:p>
    <w:p>
      <w:r>
        <w:t>Le grief sera donc écarté. 8) La recourante estime encore que les travaux qu'elle envisage permettraient de rendre les chambres concernées habitables, notamment par la création de jours. À cet égard, il faut retenir que la transformation de combles en locaux chauffés, dotés de fenêtres et par conséquent habitables, est considérée comme un agrandissement dont les limites doivent également respecter les conditions fixées à l'art. 42 al. 3 OAT (arrêts du Tribunal fédéral 1A.298/2004 du 5 juillet 2005 consid. 3.3 ; 1A.289/2004</w:t>
      </w:r>
    </w:p>
    <w:p>
      <w:r>
        <w:rPr>
          <w:b/>
        </w:rPr>
        <w:t>E. 7</w:t>
      </w:r>
    </w:p>
    <w:p>
      <w:r>
        <w:t>juin 2005 consid. 2.2.2), ce qui en l'espèce n'est pas le cas, comme vu ci-dessus. 9) La recourante fait encore grief au département et au TAPI de n'avoir pas pris en compte la possibilité de faire bénéficier la construction litigieuse du potentiel d'agrandissement dont disposerait le second bâtiment sis sur sa parcelle. Ce raisonnement ne saurait être suivi, le second bâtiment ne faisant pas partie du projet de transformation soumis par la recourante au département. En outre, l'éventuel potentiel d'agrandissement de ce second bâtiment est sujet à débat, la décision constatatoire du 24 octobre 2003 indiquant qu'il ne serait pas au bénéfice d'une autorisation. Quoiqu'il en soit, dans l'application de l'art. 42 OAT ne sont en principe considérés comme formant une unité que les bâtiments accolés au bâtiment principal (recommandations OAT p. 8 et les exemples donnés). 10) En tous points infondé, le recours sera rejeté. Vu l'issue du litige, un émolument de CHF 1'000.-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