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A/458/2009 vom 28. Mai 2009</w:t>
      </w:r>
    </w:p>
    <w:p>
      <w:r>
        <w:t>GE Cour de justice, 2009-05-28, FR</w:t>
      </w:r>
    </w:p>
    <w:p>
      <w:r>
        <w:rPr>
          <w:b/>
        </w:rPr>
        <w:t xml:space="preserve">Quelle: </w:t>
      </w:r>
      <w:r>
        <w:t>https://mcp.opencaselaw.ch/entscheid/ge_gerichte_A_458_2009</w:t>
      </w:r>
    </w:p>
    <w:p>
      <w:r>
        <w:t>FR: GE_GERICHTE A/458/2009 du 28 mai 2009</w:t>
      </w:r>
    </w:p>
    <w:p>
      <w:r>
        <w:t>IT: GE_GERICHTE A/458/2009 del 28 maggio 2009</w:t>
      </w:r>
    </w:p>
    <w:p>
      <w:pPr>
        <w:pStyle w:val="Heading2"/>
      </w:pPr>
      <w:r>
        <w:t>Regeste</w:t>
      </w:r>
    </w:p>
    <w:p>
      <w:r>
        <w:t>Administration spéciale. Plainte. Gérance légale. | La plaignante, en tant que créancière gagiste, n'a aucun intérêt personnel à obtenir une gérance légale, pour autant que celle-ci soit possible dans le cas d'espèce (questions ouverte). Refus de procéder à une distribution provisoire : l'Administration spéciale jouit d'un large pouvoir d'appréciation en la matière. S'agissant de la consignation des avoirs, la CSO a décidé d'inviter toutes les administrations spéciales à respecter l'art. 9 LP d'ici au 31 mai 2009. | LP.9; LP.266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rejette, dans la mesure de sa recevabilité, et pour le surplus, constate qu'elle est devenue sans objet en cours de procédure.</w:t>
      </w:r>
    </w:p>
    <w:p>
      <w:r>
        <w:rPr>
          <w:b/>
        </w:rPr>
        <w:t>E. 2</w:t>
      </w:r>
    </w:p>
    <w:p>
      <w:r>
        <w:t>Déboute les parties de toutes autres conclusions. Siégeant : M. Philippe GUNTZ, président ;  M. Christian CHAVAZ, juge assesseur et M. Yves de COULON, juge assesseur suppléant.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