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A/4583/2008 vom 24. September 2008</w:t>
      </w:r>
    </w:p>
    <w:p>
      <w:r>
        <w:t>GE Cour de justice, 2008-09-24, FR</w:t>
      </w:r>
    </w:p>
    <w:p>
      <w:r>
        <w:rPr>
          <w:b/>
        </w:rPr>
        <w:t xml:space="preserve">Quelle: </w:t>
      </w:r>
      <w:r>
        <w:t>https://mcp.opencaselaw.ch/entscheid/ge_gerichte_A_4583_2008</w:t>
      </w:r>
    </w:p>
    <w:p>
      <w:r>
        <w:t>FR: GE_GERICHTE A/4583/2008 du 24 septembre 2008</w:t>
      </w:r>
    </w:p>
    <w:p>
      <w:r>
        <w:t>IT: GE_GERICHTE A/4583/2008 del 24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26.01.2009 A/4583/2008</w:t>
      </w:r>
    </w:p>
    <w:p>
      <w:r>
        <w:t>A/4583/2008 ATAS/107/2009 du 26.01.2009 ( AI ) , AUTRE RÉPUBLIQUE ET CANTON DE GENÈVE POUVOIR JUDICIAIRE A/4583/2008 ATAS/107/2009 ARRET DU TRIBUNAL CANTONAL DES ASSURANCES SOCIALES Chambre 6 du 26 janvier 2009 En la cause Monsieur H__________, domicilié c/o Mme W__________, route à Bernex, comparant avec élection de domicile en l'étude de Maître LE HOUELLEUR Patrice recourant contre OFFICE CANTONAL DE L'ASSURANCE-INVALIDITE, sis rue de Lyon 97, GENEVE intimé Vu la décision de l'Office cantonal de l'assurance-invalidité (ci-après l'OCAI) du 24 septembre 2008 ; Vu le courrier de l'assuré du 21 octobre 2008 ; Vu les courriers de l'OCAI des 4, 8 et 9 décembre 2008 ; Vu le dossier ouvert par le Tribunal de céans ; Attendu qu'en date du 4 décembre 2008, l'OCAI a transmis au Tribunal de céans comme objet de sa compétence le courrier et les annexes qui lui avaient été adressés par l'assuré en date du 21 octobre 2008 ; Qu'un dossier a été ouvert sous numéro de cause A/4583/2008 et l'intimé invité à produire sa réponse et son dossier ; Qu'en date du 22 décembre 2008, l'avocat du recourant a informé le Tribunal de céans que son mandant n'avait jamais formellement recouru contre la décision du 24 septembre 2008 et demandé que la cause soit radiée du rôle ; Qu'il convient par conséquent de rayer la cause du rôle ; PAR CES MOTIFS, LE TRIBUNAL CANTONAL DES ASSURANCES SOCIALES : Raye la cause du rôle. La greffière Nancy BISIN Le président Georges ZUFFEREY La greffière-juriste : Catherine VERNIER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