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A/457/2020 vom 9. Februar 2021</w:t>
      </w:r>
    </w:p>
    <w:p>
      <w:r>
        <w:t>GE Cour de justice, 2021-02-09, FR</w:t>
      </w:r>
    </w:p>
    <w:p>
      <w:r>
        <w:rPr>
          <w:b/>
        </w:rPr>
        <w:t xml:space="preserve">Quelle: </w:t>
      </w:r>
      <w:r>
        <w:t>https://mcp.opencaselaw.ch/entscheid/ge_gerichte_A_457_2020</w:t>
      </w:r>
    </w:p>
    <w:p>
      <w:r>
        <w:t>FR: GE_GERICHTE A/457/2020 du 9 février 2021</w:t>
      </w:r>
    </w:p>
    <w:p>
      <w:r>
        <w:t>IT: GE_GERICHTE A/457/2020 del 9 febbraio 2021</w:t>
      </w:r>
    </w:p>
    <w:p>
      <w:pPr>
        <w:pStyle w:val="Heading2"/>
      </w:pPr>
      <w:r>
        <w:t>Regeste</w:t>
      </w:r>
    </w:p>
    <w:p>
      <w:r>
        <w:t>MARCHÉS PUBLICS;CONDITION DE RECEVABILITÉ;INTÉRÊT ACTUEL;MOTIVATION DE LA DEMANDE;APPEL D'OFFRES(MARCHÉS PUBLICS);CAHIER DES CHARGES;PROCÉDURE D'ADJUDICATION;SOUMISSIONNAIRE;PRIX;POUVOIR D'APPRÉCIATION | Rejet du recours formé pas un soumissionnaire qui n’a pas été retenu (arrivé en 2ème position), lequel reproche au pouvoir adjudicateur d’avoir retenu la variante proposée par l’adjudicataire, alors que cette possibilité était expressément prévue par le cahier des charges. La recourante ne prouve pas ni n’allègue que son offre aurait été mal évaluée. | LPA.60.al1.leta; AIMP.18.al2; L-AIMP.3.al3; LPA.65.al1; RMP.7A.al1; RMP.12; RMP.24; RMP.43; RMP.27.al1; RMP.28.al1; RMP.28.al2; RMP.39.al2.par1ère phr; RMP.40; RMP.40.al2; RMP.41; RMP.42; Cst.29</w:t>
      </w:r>
    </w:p>
    <w:p>
      <w:pPr>
        <w:pStyle w:val="Heading2"/>
      </w:pPr>
      <w:r>
        <w:t>Erwägungen</w:t>
      </w:r>
    </w:p>
    <w:p>
      <w:r>
        <w:rPr>
          <w:b/>
        </w:rPr>
        <w:t>E. 22</w:t>
      </w:r>
    </w:p>
    <w:p>
      <w:r>
        <w:t>septembre 2020 consid. 2a).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ATA/927/2020 précité consid. 2a).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 b. En l'espèce, dans son mémoire de réponse du 22 mai 2020, l'autorité adjudicatrice a indiqué qu'elle avait passé commande auprès du soumissionnaire retenu, soit Cimasa. Ainsi, en tant que soumissionnaire évincé arrivé au deuxième rang, la recourante, conserve un intérêt juridique à recourir contre la décision d'adjudication, son recours étant à même d'ouvrir son droit à une éventuelle indemnisation (ATF 125 II 86 consid. 5b ; ATA/970/2019 précité consid. 2c), quand bien même celle-ci n'y a pas explicitement conclu. La recourante a donc la qualité pour recourir contre la décision litigieuse. Par conséquent, le recours est recevable sous cet angle. 3) Les HUG considèrent que le recours devrait être déclaré irrecevable, faute de conclusions et de motivation suffisante. a.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l'occurrence, le recours ne contient pas de conclusions formelles en annulation de la décision des HUG du 28 janvier 2020. On comprend toutefois de l'acte de recours que la recourante, qui demande à ce qu'il soit revenu sur la décision ne retenant pas son offre, souhaite donc son annulation. Il est par ailleurs vrai que l'acte de recours, rédigé sans l'aide d'un mandataire, est également très sommaire quant à sa motivation, ce qui a d'ailleurs amené la chambre de céans à demander à la recourante de préciser dans quel contexte se situaient les trois éléments qu'elle faisait valoir. On comprend toutefois de celui-ci que la recourante conteste l'adjudication du marché à Cimasa au motif que les plaques visées dans l'offre (variante) de cette dernière ne respecteraient pas le cahier des charges à trois égards, à savoir leur épaisseur (1,5 mm au lieu des 2 mm demandés), leur propriété bactéricide et leur résistance au feu. Le recours est ainsi recevable à tous points de vue. 4) La recourante conteste l'adjudication du marché à Cimasa au motif que les plaques visées dans la variante retenue ne seraient pas conformes aux critères prévus dans l'appel d'offres. 5) a. L'autorité adjudicatrice définit, de manière formelle et transparente, les limites du marché qu'elle entend adjuger en utilisant des critères ou indices tels que le périmètre, la durée, la portée transversale de l'adjudication ou les motifs organisationnels qui justifient son choix (art. 7A al. 1 RMP). b.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Selon l'art. 27 al. 1 RMP, l'appel d'offres émis par l'autorité adjudicatrice doit contenir toutes les informations nécessaires à l'établissement de l'offre, notamment l'objet et l'importance du marché avec un descriptif détaillé des prestations attendues et/ou des spécifications techniques (cahier des charges ; let. a), la liste des pièces et documents à joindre à l'offre (let. e) ainsi que la liste des critères d'aptitude et/ou les critères d'adjudication, énoncés par ordre d'importance (let. f). Par ailleurs, aux termes de l'art. 28 al. 1 RMP, les spécifications techniques prescrites dans les documents d'appel d'offres sont définies en fonction des propriétés d'emploi du produit, plutôt que de sa conception ou de ses caractéristiques descriptives (let. a) et fondées sur des normes internationales et, à défaut, sur des normes suisses (let. b). L'art. 28 al. 2 RMP précise qu'il ne doit pas être mentionné de marques de fabrique ou de commerce, de brevets, de modèles ou de types particuliers, ni d'origine ou de fabrication de produits ou de prestataires de services déterminés, à l'exception des cas où aucun autre moyen de description suffisamment précis ou intelligible n'existe (let. a) et des termes tels que « ou équivalent » figurent dans les documents d'appel d'offres (let. b). 6)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RMP). Comme la chambre administrative l'a rappelé à plusieurs reprises, le droit des marchés publics est formaliste. L'autorité adjudicatrice doit procéder à l'examen de la recevabilité des offres et à leur évaluation dans le respect de ce formalisme ( ATA/850/2020 du 1 er septembre 2020 consid. 5a ; ATA/1815/2019 du 17 décembre 2019 consid. 3b et les références citées), qui permet de protéger notamment le principe d'intangibilité des offres remises et le respect du principe d'égalité de traitement entre soumissionnaires. Lors de l'examen des offres, l'autorité adjudicatrice examine la conformité des offres au cahier des charges et contrôle leur chiffrage (art. 39 al. 1 RMP). Les erreurs évidentes, telles que les erreurs de calcul et d'écriture, sont corrigées (art. 39 al. 2 1 ère phr. RMP). Selon l'art. 40 RMP, elle peut demander aux soumissionnaires des explications relatives à leur aptitude et à leur offre (al. 1). Les explications sont en principe fournies par écrit (al. 2). En présence d'une offre anormalement basse, l'autorité adjudicatrice doit demander au soumissionnaire de justifier ses prix, selon la forme prévue à l'art. 40 al. 2 RMP (art. 41 RMP).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b.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1 ère phr. RMP) et que des explications peuvent être demandées aux soumissionnaires relatives à leurs aptitudes et à leurs offres (art. 40 et 41 RMP). c. Le principe de la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Il est essentiel que l'autorité adjudicatrice décrive soigneusement l'objet du marché et les conditions qui lui sont applicables ; cela suppose qu'elle ait procédé à une définition précise de ses besoins.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 ème éd., 2013, p. 175 ss). 7) 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 8) Il ressort des pièces au dossier que l'appel d'offres prévoyait la possibilité pour les soumissionnaires de présenter, en sus de leur offre de base, une variante de qualité équivalente à condition qu'elle réponde aux mêmes caractéristiques techniques et esthétiques que le modèle de référence. Le point 2.4.1 des « clauses administratives » de l'appel d'offres précisait qu'une variante de l'offre ne pouvait être prise en considération qu'à la condition qu'une offre de base ait été déposée conformément aux exigences du cahier des charges. La variante devait respecter les exigences essentielles du cahier des charges et les directives techniques des HUG. Elle devait être présentée séparément, en même temps que la soumission et clairement distinguée de l'offre de base. L'adjudicataire a déposé deux offres distinctes : l'offre de base ainsi qu'une variante. La recourante ne prétend pas que l'offre de base de Cimasa ne serait pas conforme aux exigences techniques du cahier des charges. Il ressort des pièces au dossier, et notamment de ladite offre, que les plaques proposées dans l'offre de base mesuraient 2 mm, étaient conformes à la classification de résistance au feu « Bs2, d0 », ainsi qu'à un indice d'incendie de « 5,3 ». Dès lors, le pouvoir adjudicateur pouvait prendre un considération la variante proposée. En substance, la seule différence dans la variante outre son prix inférieur est l'utilisation de plaques de 1,5 mm (au lieu de 2 mm prévu par le cahier de soumission) et le fait que lesdites plaques respectent de surcroît la directive de protection incendie AEAI 14-15fr. À teneur des attestations figurant au dossier, ces plaques de 1,5 mm sont bien conformes à la classification de résistance au feu « Bs2, d0 », ainsi qu'à un indice d'incendie de « 5,3 », et ont des propriétés bactéricides. Il apparaît dès lors que les conditions relatives à l'acceptation d'une variante, et en particulier le fait qu'elle soit conforme aux exigences essentielles du cahier des charges, sont remplies. Compte tenu du large pouvoir d'appréciation qui est le sien, le pouvoir adjudicateur pouvait dès lors choisir de retenir la variante, laquelle représentait également l'offre économiquement la plus avantageuse. Pour le surplus, la recourante ne prouve pas ni n'allègue que son offre aurait été mal évaluée. À toutes fins utiles, il sera relevé que celle-ci n'a remis dans son offre aucune information sur son organisation ou son effectif en lien avec le critère 2 (organisation) et n'a indiqué aucune référence pour le critère 3 (références), alors que ces informations étaient spécifiquement demandées à teneur des documents de l'appel d'offres. Elle n'a dès lors obtenu aucun point pour ces deux critères, ce qui justifie l'important écart de points entre la recourante et le soumissionnaire retenu. Les considérants qui précédent conduisent au rejet du recours, la décision d'adjudication étant conforme au droit. 9) Vu l'issue du litige, un émolument de CHF 1'000.- sera mis à la charge de la recourante, qui succombe (art. 87 al. 1 LPA). Aucune indemnité de procédure ne sera allouée aux intimés, qui disposent d'un service juridique apte à traiter les procédures de marchés publics (art. 87 al. 2 LPA ; ATA/695/2015 du 30 juin 2015 consid. 10), ni à la société adjudicataire, laquelle n'a produit aucune écriture dans la présente procédure et n'a donc pas conclu à l'octroi d'une telle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