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A/4574/2007 vom 15. Dezember 2008</w:t>
      </w:r>
    </w:p>
    <w:p>
      <w:r>
        <w:t>GE Cour de justice, 2008-12-15, FR</w:t>
      </w:r>
    </w:p>
    <w:p>
      <w:r>
        <w:rPr>
          <w:b/>
        </w:rPr>
        <w:t xml:space="preserve">Quelle: </w:t>
      </w:r>
      <w:r>
        <w:t>https://mcp.opencaselaw.ch/entscheid/ge_gerichte_A_4574_2007</w:t>
      </w:r>
    </w:p>
    <w:p>
      <w:r>
        <w:t>FR: GE_GERICHTE A/4574/2007 du 15 décembre 2008</w:t>
      </w:r>
    </w:p>
    <w:p>
      <w:r>
        <w:t>IT: GE_GERICHTE A/4574/2007 del 15 dicembre 2008</w:t>
      </w:r>
    </w:p>
    <w:p>
      <w:pPr>
        <w:pStyle w:val="Heading2"/>
      </w:pPr>
      <w:r>
        <w:t>Erwägungen</w:t>
      </w:r>
    </w:p>
    <w:p>
      <w:r>
        <w:rPr>
          <w:b/>
        </w:rPr>
        <w:t>E. 7</w:t>
      </w:r>
    </w:p>
    <w:p>
      <w:r>
        <w:t>Dans un arrêt du 31 août 2007 en la cause M. (I 65/07), le Tribunal fédéral a considéré qu'un rapport médical signé par la Dresse X. avec l'indication "psychiatre FMH" ne pouvait se voir attribuer pleine valeur probante, en raison d'une irrégularité d'ordre formel liée à l'utilisation d'un titre auquel le médecin ne pouvait prétendre. La Haute Cour a retenu qu'il n'était en conséquence pas possible de tirer d'un tel rapport des conclusions définitives. Dans le cas d'espèce, la Dresse Q________ a rendu un rapport médical le 21 avril 2006 signé "psychiatre FMH" alors qu'elle n'en avait pas le titre et qu'elle n'était pas autorisée à pratiquer en tant que médecin dépendant. La situation étant similaire au cas précité, il convient d'en conclure que la valeur probante de l'appréciation faite par la Dresse Q________ est affaiblie. Le fait que l'examen SMR ait été avalisé par suite, sans modification et sans nouvel examen, par les Drs S________, signant psychiatre FMH, Q________, sans titre mentionné, R________, signant chirurgie orthopédique et traumatologie FMH et T________, signant médecin-cheffe, ne change rien à cette problématique et ne rend pas pour autant une pleine valeur probante à l'examen, puisque précisément les nouveaux médecins signataires n'ont pas assisté audit examen. Quoi qu'il en soit, le psychiatre traitant de l'assuré a établi un rapport circonstancié, dans lequel il diagnostique un trouble anxieux dépressif mixte ainsi qu'un syndrome douloureux somatoforme persistant, traités par médicaments et psychothérapie. Ce deuxième diagnostique, soit le trouble somatoforme persistant, est nouveau et mérite d'être investigué. En effet, le Dr U________ a motivé son rapport et le Tribunal de céans doit pouvoir déterminer au degré de vraisemblance prépondérante, si le recourant souffre d'un tel trouble et le cas échéant si celui-ci est invalidant ou non, selon les critères posés par le Tribunal fédéral. Enfin, le Tribunal de céans s'étonne du fait que l'OCAI n'a pas tiré les conséquences de la jurisprudence pourtant bien établie du Tribunal fédéral, s'agissant de la valeur probante amoindrie d'un examen établi et signé "psychiatre FMH" par un médecin qui n'en a pas le titre. Il est à relever que l'intimé s'est non seulement appuyé sur un rapport d'examen dépourvu de valeur probante, mais a de surcroît produit un rapport modifié dans la mesure où il a changé les signatures de la dernière page du rapport. De l'avis du Tribunal, l'intimé aurait dû tirer lui-même la conclusion que l'examen SMR n'était pas idoine pour établir l'état psychique du recourant, eu égard à sa valeur probante amoindrie et au rapport circonstancié du psychiatre traitant, et faire effectuer lui-même l'expertise psychiatrique. Le Tribunal de céans renonce toutefois à renvoyer le dossier à l'administration, en raison du long écoulement de temps depuis le dépôt de la demande de l'assuré (1995) au prononcé de la décision (2007). Cependant, le Tribunal considère que l'OCAI, en renonçant à commettre une expertise psychiatrique en violation de la jurisprudence fédérale, et en produisant un rapport modifié, a agi avec légèreté au sens de l'art. 61 let. a LPGA. Les frais de l'expertise psychiatrique seront dès lors mis à sa charge. Au vu de ce qui précède, le Tribunal de céans ordonnera une expertise psychiatrique de l'assuré, par laquelle l'expert devra établir des diagnostics précis, en prenant contact avec le nouveau psychiatre traitant du recourant, notamment, et se prononcer, en cas de trouble somatoforme douloureux, sur les critères dégagés par la jurisprudence permettant de déterminer si ce trouble est invalidant ou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