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A/456/2020 vom 19. Mai 2020</w:t>
      </w:r>
    </w:p>
    <w:p>
      <w:r>
        <w:t>GE Cour de justice, 2020-05-19, FR</w:t>
      </w:r>
    </w:p>
    <w:p>
      <w:r>
        <w:rPr>
          <w:b/>
        </w:rPr>
        <w:t xml:space="preserve">Quelle: </w:t>
      </w:r>
      <w:r>
        <w:t>https://mcp.opencaselaw.ch/entscheid/ge_gerichte_A_456_2020</w:t>
      </w:r>
    </w:p>
    <w:p>
      <w:r>
        <w:t>FR: GE_GERICHTE A/456/2020 du 19 mai 2020</w:t>
      </w:r>
    </w:p>
    <w:p>
      <w:r>
        <w:t>IT: GE_GERICHTE A/456/2020 del 19 maggio 2020</w:t>
      </w:r>
    </w:p>
    <w:p>
      <w:pPr>
        <w:pStyle w:val="Heading2"/>
      </w:pPr>
      <w:r>
        <w:t>Erwägungen</w:t>
      </w:r>
    </w:p>
    <w:p>
      <w:r>
        <w:rPr>
          <w:b/>
        </w:rPr>
        <w:t>E. 1</w:t>
      </w:r>
    </w:p>
    <w:p>
      <w:r>
        <w:t>Madame A______ et Monsieur A______ (ci-après : le couple ou les parents), sont domiciliés à Dingy en Vuache, en France. M. A______ travaille à Genève. Ils sont les parents de C______, née le ______ 2004 et de B______, née le ______ 2009. La famille est de nationalité suisse.</w:t>
      </w:r>
    </w:p>
    <w:p>
      <w:r>
        <w:rPr>
          <w:b/>
        </w:rPr>
        <w:t>E. 2</w:t>
      </w:r>
    </w:p>
    <w:p>
      <w:r>
        <w:t>Par demande datée du 24 janvier 2020, mais reçue à la direction générale de l'enseignement obligatoire (ci-après : DGEO) le 27 janvier 2020, le couple a déposé une demande d'admission dans l'enseignement primaire public genevois d'élèves domiciliés en France voisine, rentrée 2020, auprès du département de l'instruction publique, de la formation et de la jeunesse (ci-après : DIP ou département) en faveur de leur fille B______. Il ressort de cette demande qu'elle était scolarisée au sein de l'école primaire de sa commune à Dingy en Vuache pendant l'année scolaire 2018 - 2019 en CM2. Sa soeur C______ était scolarisée au collège D______ à Saint-Julien-en-Genevois.</w:t>
      </w:r>
    </w:p>
    <w:p>
      <w:r>
        <w:rPr>
          <w:b/>
        </w:rPr>
        <w:t>E. 3</w:t>
      </w:r>
    </w:p>
    <w:p>
      <w:r>
        <w:t>Le 29 janvier 2020, le département, soit pour lui la DGEO, a rejeté la demande d'admission dans l'enseignement primaire public genevois de la fille du couple. Elle ne remplissait pas les conditions d'admission de l'art. 23 al. 1 let. b du règlement de l'enseignement primaire du 7 juillet 1993 (REP - 1 10.21), à savoir qu'elle n'avait pas de fratrie déjà scolarisée au sein de l'enseignement obligatoire public genevois, condition nécessaire pour pouvoir l'admettre à Genève.</w:t>
      </w:r>
    </w:p>
    <w:p>
      <w:r>
        <w:rPr>
          <w:b/>
        </w:rPr>
        <w:t>E. 4</w:t>
      </w:r>
    </w:p>
    <w:p>
      <w:r>
        <w:t>Par acte posté le 4 février 2020, les époux ont recouru contre cette décision auprès de la chambre administrative de la Cour de justice (ci-après : la chambre administrative). Ils ont expliqué avoir habité dans le canton de Genève depuis les années 1980. Leurs filles avaient été scolarisées dans ce canton jusqu'en 2012, date à laquelle la famille avait déménagé en France, « par nécessité », n'ayant pas trouvé de logement à un prix abordable en Suisse. Ils étaient attachés à la Suisse et souhaitaient faire grandir leur fille « en profitant un peu plus de la culture suisse et genevoise ». M. A______ travaillait à Genève et était « quelqu'un de productif » qui n'avait jamais bénéficié d'aucune aide sociale.</w:t>
      </w:r>
    </w:p>
    <w:p>
      <w:r>
        <w:rPr>
          <w:b/>
        </w:rPr>
        <w:t>E. 5</w:t>
      </w:r>
    </w:p>
    <w:p>
      <w:r>
        <w:t>Le 25 février 2020, le département a conclu au rejet du recours. Le canton de Genève était légitimé juridiquement à limiter l'accès à l'école obligatoire aux seuls résidents de son territoire. Selon la jurisprudence de la chambre administrative, l'art. 23 REP ne limitait pas le droit d'accès à l'enseignement, mais élargissait le champ d'accès en instaurant deux exceptions positives au principe de non-scolarisation des enfants domiciliés hors du canton de Genève. La réglementation était conforme à l'accord du 21 juin 1999 entre la Confédération suisse d'une part, et la Communauté européenne et ses États membres, d'autre part, sur la libre circulation des personnes (ALCP - RS 0.142.112.681). Le Tribunal fédéral s'était aussi prononcé dans ce sens. Les circonstances personnelles ou souhaits mis en avant par les parents ne conféraient pas de droit à l'enfant d'être scolarisé dans le canton hors les exceptions prévues à l'art. 23 al. 1 let. a et b REP. En l'espèce, l'enfant B______ ne disposait pas d'un membre de sa fratrie ou demi-fratrie actuellement scolarisé dans l'enseignement public genevois.</w:t>
      </w:r>
    </w:p>
    <w:p>
      <w:r>
        <w:rPr>
          <w:b/>
        </w:rPr>
        <w:t>E. 6</w:t>
      </w:r>
    </w:p>
    <w:p>
      <w:r>
        <w:t>Les parents soutiennent implicitement qu'ils sont, avec leur fille, victimes d'une discrimination proscrite par l'ALCP. a. La chambre administrative a traité en détail de la problématique dans plusieurs arrêts auxquels il peut être renvoyé ( ATA/999/2019 du 11 juin 2019 consid. 13 à 24 ; ATA/1017/2019 du 13 juin 2019 ; ATA/1016/2019 du 13 juin 2019 ; ATA/1015/2019 du 13 juin 2019 notamment). Elle a rejeté les recours d'enfants et de leurs parents domiciliés en France voisine contre le refus de les scolariser dans l'enseignement primaire public genevois. Ce refus, qui découlait de l'un des corollaires du caractère obligatoire de l'enseignements primaire, à savoir que les enfants doivent fréquenter l'école du lieu où ils résident, reposait sur une base légale suffisante et ne violait pas l'ALCP. b. Par ailleurs, dans un arrêt du 11 juin 2019, le Tribunal fédéral a confirmé un arrêt de la chambre de céans (arrêt 2C_820/2018 consid. 4.1) s'agissant du refus de l'accès, pour un enfant handicapé suisse, domicilié en France, aux mesures de pédagogie spécialisée. Aux termes de l'art. 3 Annexe I ALCP, les membres de la famille d'une personne ressortissant d'une partie contractante ayant un droit de séjour ont le droit de s'installer avec elle. Ce droit général comprend plusieurs facettes, qui correspondent pour l'essentiel aux droits accordés aux personnes qui jouissent elles-mêmes de la libre circulation, dont le droit à l'enseignement. Or, selon l'art. 3 par. 6 Annexe I ALCP, qui est calqué sur l'art. 12 du règlement (CEE) n° 1612/68 (actuellement, art. 10 du règlement [UE] n° 492/2011),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Il ressort de ce qui précède que la condition de la résidence est prévue par l'ALCP lui-même. Si l'art. 3 par. 6 de l'Annexe I à l'ALCP établit bien un principe de non discrimination relatif à l'admission aux cours d'enseignement général, d'apprentissage et de formation professionnelle, celui-ci concerne les Suisses domiciliés dans un État membre et les ressortissants des États membres domiciliés en Suisse : ces personnes ont droit aux mesures de formation spécialisée aux mêmes conditions que les nationaux. La Cour de justice des Communautés européennes a d'ailleurs jugé que l'enfant d'un travailleur migrant, qui peut se réclamer de l'art. 12 du règlement n° 1612/68, doit être admis aux cours d'enseignement général, d'apprentissage et de formation professionnelle dans les mêmes conditions que les ressortissants du pays d'accueil, si cet enfant réside sur son territoire. Ainsi, en tant qu'il prévoit une condition de domicile, l'art. 3 par. 6 Annexe I ALCP constitue en quelque sorte une réserve par rapport au principe général de non-discrimination de l'art. 2 ALCP, qui lui-même ne s'applique au demeurant qu'aux personnes qui séjournent légalement sur le territoire de l'État concerné (arrêt 2C_820/2018 précité et les références citées). Comme l'indique le Tribunal fédéral dans le cas précité, applicable aux recourants, ceci s'explique par le but de l'art. 3 par. 6 Annexe I ALCP qui est l'intégration de la famille du travailleur dans l'État membre d'accueil. En effet, l'intégration de la famille dans le milieu du pays d'accueil présuppose, dans le cas de l'enfant d'un travailleur étranger, que cet enfant puisse bénéficier, dans les mêmes conditions que ses homologues nationaux, des avantages prévus par la législation du pays d'accueil dont les mesures éducatives prévues. Or, en l'espèce, les recourants sont domiciliés en France. Le but recherché de l'intégration veut, en conséquence, que leur enfant bénéficie de l'enseignement spécialisé de ce pays et pas en Suisse. Ce grief sera donc écarté.</w:t>
      </w:r>
    </w:p>
    <w:p>
      <w:r>
        <w:rPr>
          <w:b/>
        </w:rPr>
        <w:t>E. 7</w:t>
      </w:r>
    </w:p>
    <w:p>
      <w:r>
        <w:t>Les recourants invoquent encore la qualité de contribuable du canton du père de l'enfant. Ils n'indiquent toutefois pas quelles éventuelles dispositions conventionnelles, légales ou réglementaires, mis à part l'art. 23 al. 1 let. a REP dont ils ne remplissent pas les conditions, imposeraient aux autorités genevoises d'admettre leur fille dans l'enseignement primaire public genevois du seul fait que l'un des parents y paye des impôts ( ATA/999/2019 précité consid. 23). En tous points infondé, le recours sera rejeté</w:t>
      </w:r>
    </w:p>
    <w:p>
      <w:r>
        <w:rPr>
          <w:b/>
        </w:rPr>
        <w:t>E. 8</w:t>
      </w:r>
    </w:p>
    <w:p>
      <w:r>
        <w:t>Vu l'issue du litige, un émolument de CHF 400.- sera mis à la charge des recourants, qui succombent. L'enfant mineure ayant agi par ses parents, ceux-ci se verront astreints au paiement dudit émolument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