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A/4569/2008 vom 17. März 2009</w:t>
      </w:r>
    </w:p>
    <w:p>
      <w:r>
        <w:t>GE Cour de justice, 2009-03-17, FR</w:t>
      </w:r>
    </w:p>
    <w:p>
      <w:r>
        <w:rPr>
          <w:b/>
        </w:rPr>
        <w:t xml:space="preserve">Quelle: </w:t>
      </w:r>
      <w:r>
        <w:t>https://mcp.opencaselaw.ch/entscheid/ge_gerichte_A_4569_2008</w:t>
      </w:r>
    </w:p>
    <w:p>
      <w:r>
        <w:t>FR: GE_GERICHTE A/4569/2008 du 17 mars 2009</w:t>
      </w:r>
    </w:p>
    <w:p>
      <w:r>
        <w:t>IT: GE_GERICHTE A/4569/2008 del 17 marzo 2009</w:t>
      </w:r>
    </w:p>
    <w:p>
      <w:pPr>
        <w:pStyle w:val="Heading2"/>
      </w:pPr>
      <w:r>
        <w:t>Regeste</w:t>
      </w:r>
    </w:p>
    <w:p>
      <w:r>
        <w:t>; CIRCULATION ROUTIÈRE(DROIT DE LA CIRCULATION ROUTIÈRE) ; NÉCESSITÉ; PROFESSION ; REMORQUE ; AUTOROUTE ; ADAPTATION DE LA VITESSE | La vitesse maximale est limitée à 80 km/h sur l'autoroute pour les voitures avec remorque et ce quand bien même des signaux indiqueraient une limite supérieure. En l'espèce, l'OCAN n'avait pas à examiner les besoins professionnels du recourant dans la mesure où elle a prononcé le minimum légal. | OAC.44.al1; LCR.16c.al1.let.a; OOCR-OFROU.8.al1.let.b.ch.2; LCR.16c.al2</w:t>
      </w:r>
    </w:p>
    <w:p>
      <w:pPr>
        <w:pStyle w:val="Heading2"/>
      </w:pPr>
      <w:r>
        <w:t>Erwägungen</w:t>
      </w:r>
    </w:p>
    <w:p>
      <w:r>
        <w:rPr>
          <w:b/>
        </w:rPr>
        <w:t>E. 2</w:t>
      </w:r>
    </w:p>
    <w:p>
      <w:r>
        <w:t>Selon le dossier produit par le service des automobiles et de la navigation, devenu depuis lors l'office cantonal des automobiles et de la navigation (ci-après : OCAN), ce conducteur a les antécédents suivants en matière de circulation routière : Le 7 mars 2006, il a fait l'objet d'un avertissement en raison d'un dépassement de la vitesse maximale autorisée en localité de 17 km/h, marge de sécurité déduite, commis le 6 octobre 2005 ; Le 29 juin 2007, il a fait l'objet d'une décision de retrait de permis de conduire pour une durée d'un mois, suite à un dépassement de la vitesse maximale autorisée en localité de 18 km/h, marge de sécurité déduite, survenu le 13 mars 2007 à 21h17.</w:t>
      </w:r>
    </w:p>
    <w:p>
      <w:r>
        <w:rPr>
          <w:b/>
        </w:rPr>
        <w:t>E. 3</w:t>
      </w:r>
    </w:p>
    <w:p>
      <w:r>
        <w:t>Le 3 mai 2008, à 01h45, M. S______ circulait sur la chaussée lac de l’autoroute A1 Genève-Lausanne au volant d’une voiture tractant une remorque. Selon le radar posé à la jonction Nyon-Gland, dans le district de Nyon, la vitesse de l'intéressé était de 115 km/h, marge de sécurité de 4 km/h déduite alors que la vitesse prescrite pour un tel convoi était de 80km/h. Ainsi, le dépassement effectif a été de 35 km/h.</w:t>
      </w:r>
    </w:p>
    <w:p>
      <w:r>
        <w:rPr>
          <w:b/>
        </w:rPr>
        <w:t>E. 4</w:t>
      </w:r>
    </w:p>
    <w:p>
      <w:r>
        <w:t>Le 18 juin 2008, l'OCAN a invité M. S______ à lui faire part de ses observations dans un délai de dix jours. Ce courrier est resté lettre morte.</w:t>
      </w:r>
    </w:p>
    <w:p>
      <w:r>
        <w:rPr>
          <w:b/>
        </w:rPr>
        <w:t>E. 5</w:t>
      </w:r>
    </w:p>
    <w:p>
      <w:r>
        <w:t>En date du 14 novembre 2008, l'OCAN a notifié à l'intéressé une décision de retrait du permis de conduire pour une durée de trois mois, en application de l’article 16c alinéa 1 lettre a de la loi fédérale sur la circulation routière du 19 décembre 1958 (LCR - RS 741.01), soit pour faute grave.</w:t>
      </w:r>
    </w:p>
    <w:p>
      <w:r>
        <w:rPr>
          <w:b/>
        </w:rPr>
        <w:t>E. 6</w:t>
      </w:r>
    </w:p>
    <w:p>
      <w:r>
        <w:t>Par acte posté le 13 décembre 2008, M. S______ a recouru contre la décision susmentionnée auprès du Tribunal administratif. Il priait le tribunal de lui accorder une exception à ce retrait de permis, en maintenant la validité de son permis 125 cc (catégorie A1) afin qu'il puisse se rendre à son travail en scooter. a. En toute bonne foi et persuadé d'être dans la légalité, il avait roulé à 115 km/h, car il ne savait pas qu’un tel attelage était soumis à des dispositions spéciales. Cette norme était méconnue du grand public et aucune signalisation particulière n'attirait l'attention du conducteur sur cette limitation sur les tronçons autoroutiers. De plus, ayant passé son permis aux Etats-Unis et ayant bénéficié d'un échange de permis, il n'avait jamais étudié le code de la route suisse. b. Ses besoins professionnels justifiaient l'emploi d'un véhicule automobile, son lieu de travail se situant dans la zone industrielle du Bois-de-Bay à Satigny très mal desservie par les Transports publics genevois (ci-après : TPG). Son permis de conduire lui permettait en tant que chef technicien de mener à bien les tests de conduite nécessaires aux recherches de pannes des voitures en réparation qui lui étaient confiées. La date du début du retrait, fixée au 14 janvier 2009, coïncidait avec le départ en congé sabbatique jusqu'à la fin du mois de mai 2009 d'un de ses employés, qui, habitant le même quartier, aurait été en mesure de le véhiculer.</w:t>
      </w:r>
    </w:p>
    <w:p>
      <w:r>
        <w:rPr>
          <w:b/>
        </w:rPr>
        <w:t>E. 7</w:t>
      </w:r>
    </w:p>
    <w:p>
      <w:r>
        <w:t>a. Lors de la comparution personnelle des parties du 25 février 2008 (recte 2009), M. S______ a persisté dans les termes de son recours, à savoir que la disposition légale applicable en l'espèce était totalement inconnue du grand public, qu'aucune signalisation n'était mise en place pour lui faire savoir. Bien que conscient de l'adage "nul n'est censé ignorer la loi", il estimait qu'en l'espèce, celui-là n'était pas adapté à son cas. Enfin, ses besoins professionnels commandaient qu'il se déplace en voiture. Il a de plus invoqué un nouvel argument et conteste la déduction de la marge de sécurité de 4 km/h. En effet, selon le manuel "Conduire un poids lourd", édité par la Fédération romande des écoles de conduite, le contrôle au moyen de radar entraînait une déduction de 5 km/h jusqu'à une vitesse de 100 km/h et de 6 km/h entre 101 et 150 km/h. b. La représentante de l'OCAN a persisté dans la décision entreprise.</w:t>
      </w:r>
    </w:p>
    <w:p>
      <w:r>
        <w:rPr>
          <w:b/>
        </w:rPr>
        <w:t>E. 8</w:t>
      </w:r>
    </w:p>
    <w:p>
      <w:r>
        <w:t>A la demande du Tribunal administratif, l'OCAN a transmis le 26 février 2008 l'ordonnance de l'office fédéral des routes (ci-après : OFROU) concernant l'ordonnance sur le contrôle de la circulation routière du 22 mai 2008 (OOCCR-OFROU - RS 741.013.1), et persisté dans ses conclusions.</w:t>
      </w:r>
    </w:p>
    <w:p>
      <w:r>
        <w:rPr>
          <w:b/>
        </w:rPr>
        <w:t>E. 9</w:t>
      </w:r>
    </w:p>
    <w:p>
      <w:r>
        <w:t>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