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A/454/2009 vom 16. Juli 2009</w:t>
      </w:r>
    </w:p>
    <w:p>
      <w:r>
        <w:t>GE Cour de justice, 2009-07-16, FR</w:t>
      </w:r>
    </w:p>
    <w:p>
      <w:r>
        <w:rPr>
          <w:b/>
        </w:rPr>
        <w:t xml:space="preserve">Quelle: </w:t>
      </w:r>
      <w:r>
        <w:t>https://mcp.opencaselaw.ch/entscheid/ge_gerichte_A_454_2009</w:t>
      </w:r>
    </w:p>
    <w:p>
      <w:r>
        <w:t>FR: GE_GERICHTE A/454/2009 du 16 juillet 2009</w:t>
      </w:r>
    </w:p>
    <w:p>
      <w:r>
        <w:t>IT: GE_GERICHTE A/454/2009 del 16 luglio 2009</w:t>
      </w:r>
    </w:p>
    <w:p>
      <w:pPr>
        <w:pStyle w:val="Heading2"/>
      </w:pPr>
      <w:r>
        <w:t>Regeste</w:t>
      </w:r>
    </w:p>
    <w:p>
      <w:r>
        <w:t>Saisie. Minimum vital. Biens saisissables. | Plainte admise et dossier retourné à l'Office pour complément d'investigation sur désaisissment du débiteur de deux motos ainsi que sur le financement d'un véhicule de luxe au moyen d'une société sans activité. |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plainte a été formée en temps utile auprès de l’autorité compétente contre une mesure sujette à plainte par une personne ayant qualité pour agir par cette voie (art. 17 LP ; art. 10 al. 1 et 13 LaLP). Elle est donc recevable.</w:t>
      </w:r>
    </w:p>
    <w:p>
      <w:r>
        <w:rPr>
          <w:b/>
        </w:rPr>
        <w:t>E. 2</w:t>
      </w:r>
    </w:p>
    <w:p>
      <w:r>
        <w:t>Retourne la cause à l'Office des poursuites pour complément d'instruction dans le sens des considérants 4.a et 4.b.</w:t>
      </w:r>
    </w:p>
    <w:p>
      <w:r>
        <w:rPr>
          <w:b/>
        </w:rPr>
        <w:t>E. 3</w:t>
      </w:r>
    </w:p>
    <w:p>
      <w:r>
        <w:t>Déboute les parties de toutes autres conclusions. Siégeant : M. Philippe GUNTZ, président ;  M. Didier BROSSET, juge assesseur et M. Yves de COULON,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