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A/453/2025 vom 7. Mai 2025</w:t>
      </w:r>
    </w:p>
    <w:p>
      <w:r>
        <w:t>GE Cour de justice, 2025-05-07, FR</w:t>
      </w:r>
    </w:p>
    <w:p>
      <w:r>
        <w:rPr>
          <w:b/>
        </w:rPr>
        <w:t xml:space="preserve">Quelle: </w:t>
      </w:r>
      <w:r>
        <w:t>https://mcp.opencaselaw.ch/entscheid/ge_gerichte_A_453_2025</w:t>
      </w:r>
    </w:p>
    <w:p>
      <w:r>
        <w:t>FR: GE_GERICHTE A/453/2025 du 7 mai 2025</w:t>
      </w:r>
    </w:p>
    <w:p>
      <w:r>
        <w:t>IT: GE_GERICHTE A/453/2025 del 7 maggio 2025</w:t>
      </w:r>
    </w:p>
    <w:p>
      <w:pPr>
        <w:pStyle w:val="Heading2"/>
      </w:pPr>
      <w:r>
        <w:t>Erwägungen</w:t>
      </w:r>
    </w:p>
    <w:p>
      <w:r>
        <w:rPr>
          <w:b/>
        </w:rPr>
        <w:t>E. 1.1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 er mars 1996 (LAF - J 5 10). Sa compétence pour juger du cas d’espèce est ainsi établie.</w:t>
      </w:r>
    </w:p>
    <w:p>
      <w:r>
        <w:rPr>
          <w:b/>
        </w:rPr>
        <w:t>E. 1.2</w:t>
      </w:r>
    </w:p>
    <w:p>
      <w:r>
        <w:t>Selon l'art. 2B LAF, les prestations prévues par la LAF sont régies par : la LAFam et ses dispositions d'exécution (let. a) ; la LPGA et ses dispositions d'exécution, dans la mesure où la LAFam ou la LAF y renvoie (let. b) ; la loi fédérale sur l'assurance-vieillesse et survivants du 20 décembre 1946 et ses dispositions d'exécution, dans la mesure où la LAFam ou la LAF y renvoie (let. c) ; la LAF et ses dispositions d'exécution (let. d). Interjeté dans les forme et délai prévus par la loi, le recours est recevable (art. 56 ss LPGA et 38A LAF).</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En l’espèce, le recours pour déni de justice a été interjeté devant l’autorité compétente (art. 58 al. 1 LPGA) et est recevable.</w:t>
      </w:r>
    </w:p>
    <w:p>
      <w:r>
        <w:rPr>
          <w:b/>
        </w:rPr>
        <w:t>E. 3.1</w:t>
      </w:r>
    </w:p>
    <w:p>
      <w:r>
        <w:t>Lorsqu’il existe un intérêt actuel au recours au moment où celui-ci est formé, mais que celui-ci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 cf.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 cf. ATF 133 III 439 consid. 4 p. 446 ; 115 Ia 12 consid. 5 p. 21 ; 110 V 72 consid. 7 p. 81 ; 135 V 473 consid. 3.3 p. 473 ; arrêt du Tribunal fédéral 9C_62/2015 du 20 novembre 2015 consid. 6.2).</w:t>
      </w:r>
    </w:p>
    <w:p>
      <w:r>
        <w:rPr>
          <w:b/>
        </w:rPr>
        <w:t>E. 3.2</w:t>
      </w:r>
    </w:p>
    <w:p>
      <w:r>
        <w:t>En l’occurrence, la somme litigieuse ayant été versée par l’intimée à la recourante en février 2025, son recours pour déni de justice est devenu sans objet, de sorte qu'il convient de rayer la cause du rôle. Le litige porte ainsi uniquement sur l’éventuel droit de la recourante à des dépens pour la procédure qu'elle a initiée. En l’occurrence, la recourante n’a pas droit à des dépens, car elle a agi sans l'assistance d'un avocat dans une cause d'une complexité et d'une importance relatives n'ayant pas exigé un investissement particulier de sa part, au sens de la jurisprudence précitée. Il en résulte qu’il n’y pas lieu de se prononcer sur l’issue probable de son recours.</w:t>
      </w:r>
    </w:p>
    <w:p>
      <w:r>
        <w:rPr>
          <w:b/>
        </w:rPr>
        <w:t>E. 4</w:t>
      </w:r>
    </w:p>
    <w:p>
      <w:r>
        <w:t>Au vu de ce qui précède, le recours sera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