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A/4536/2015 vom 14. Juni 2016</w:t>
      </w:r>
    </w:p>
    <w:p>
      <w:r>
        <w:t>GE Cour de justice, 2016-06-14, FR</w:t>
      </w:r>
    </w:p>
    <w:p>
      <w:r>
        <w:rPr>
          <w:b/>
        </w:rPr>
        <w:t xml:space="preserve">Quelle: </w:t>
      </w:r>
      <w:r>
        <w:t>https://mcp.opencaselaw.ch/entscheid/ge_gerichte_A_4536_2015</w:t>
      </w:r>
    </w:p>
    <w:p>
      <w:r>
        <w:t>FR: GE_GERICHTE A/4536/2015 du 14 juin 2016</w:t>
      </w:r>
    </w:p>
    <w:p>
      <w:r>
        <w:t>IT: GE_GERICHTE A/4536/2015 del 14 giugno 2016</w:t>
      </w:r>
    </w:p>
    <w:p>
      <w:pPr>
        <w:pStyle w:val="Heading2"/>
      </w:pPr>
      <w:r>
        <w:t>Erwägungen</w:t>
      </w:r>
    </w:p>
    <w:p>
      <w:r>
        <w:rPr>
          <w:b/>
        </w:rPr>
        <w:t>E. 6</w:t>
      </w:r>
    </w:p>
    <w:p>
      <w:r>
        <w:t>Reste à examiner si les événements invoqués par le recourant dans ses écritures devaient être considérés par le doyen comme constitutifs d’une situation exceptionnelle, au sens de l'art. 58 al. 4 du statut.![endif]&gt;![if&gt; 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ATA/1336/2015 du 15 décembre 2015 consid. 5 ; ATA/863/2015 du 25 août 2015 consid. 6c ; ATA/977/2014 du 9 décembre 2014 consid. 5a ; ATA/348/2013 du 4 juin 2013 et les références citées).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ATA/863/2015 précité consid. 6c ; ATA/977/2014 précité consid. 5b et les références citées).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ATA/863/2015 précité consid. 6c ; ATA/977/2014 précité consid. 5c ; ACOM/75/2005 du 15 décembre 2005).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c. En l’espèce, le recourant ne fait qu’alléguer avoir rencontré des problèmes de logement et des problèmes financiers qui l’auraient empêché de consacrer du temps à ses études, plus précisément la perte de son logement, un déménagement en urgence et des dépenses pour son nouvel appartement d’une importance telle qu’elles l’auraient empêché de se rendre sur son lieu d’études, n’ayant plus la somme nécessaire pour s’acquitter des frais de transports publics. Sans remettre en cause la gravité de la situation du recourant, ces circonstances ont été invoquées tardivement. Elles sont de surcroît uniquement alléguées. Enfin, même si elles devaient être démontrées, elles ne rempliraient pas les conditions permettant de retenir une situation exceptionnelle, conformément aux exemples retenus par la jurisprudence. Le recourant ne peut dès lors être mis au bénéfice d’une dérogation. En refusant cette dernière, le doyen n’a pas mésusé de son pouvoir d’appréciation et a donc, à juste titre, rejeté l'opposition.</w:t>
      </w:r>
    </w:p>
    <w:p>
      <w:r>
        <w:rPr>
          <w:b/>
        </w:rPr>
        <w:t>E. 7</w:t>
      </w:r>
    </w:p>
    <w:p>
      <w:r>
        <w:t>Le recours sera donc rejeté.![endif]&gt;![if&gt;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