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A/452/2008 vom 7. Mai 2007</w:t>
      </w:r>
    </w:p>
    <w:p>
      <w:r>
        <w:t>GE Cour de justice, 2007-05-07, FR</w:t>
      </w:r>
    </w:p>
    <w:p>
      <w:r>
        <w:rPr>
          <w:b/>
        </w:rPr>
        <w:t xml:space="preserve">Quelle: </w:t>
      </w:r>
      <w:r>
        <w:t>https://mcp.opencaselaw.ch/entscheid/ge_gerichte_A_452_2008</w:t>
      </w:r>
    </w:p>
    <w:p>
      <w:r>
        <w:t>FR: GE_GERICHTE A/452/2008 du 7 mai 2007</w:t>
      </w:r>
    </w:p>
    <w:p>
      <w:r>
        <w:t>IT: GE_GERICHTE A/452/2008 del 7 maggio 2007</w:t>
      </w:r>
    </w:p>
    <w:p>
      <w:pPr>
        <w:pStyle w:val="Heading2"/>
      </w:pPr>
      <w:r>
        <w:t>Erwägungen</w:t>
      </w:r>
    </w:p>
    <w:p>
      <w:r>
        <w:rPr>
          <w:b/>
        </w:rPr>
        <w:t>E. 10</w:t>
      </w:r>
    </w:p>
    <w:p>
      <w:r>
        <w:t>Force est de constater, au vu de ce qui précède, que la partie du capital dépensée dont l'assurée ne peut prouver qu'elle l'a été moyennant contre-prestation doit être prise en considération comme fortune faisant partie du revenu déterminant au sens des art. 3 al. 1 let. g LPC et 7 al. 3 LPCC. L'assurée affirme avoir remboursé ses créanciers. Or, le Tribunal de céans, en l'absence d'éléments probants démontrant cette affectation, ne peut l'admettre comme ayant été établie avec le degré de vraisemblance prépondérante requis par la jurisprudence. Le SPC était en conséquence fondé à tenir compte de biens dessaisis à hauteur de 267'029 fr, pour 2007 et 257'029 fr. pour 2008. et à considérer que l'assurée s'est dessaisie de ces montants sans avoir reçu en échange une contre-prestation équivalente, à l'exception du versement effectué en faveur de Mr P___________. Eu égard aux considérations qui précèdent, le recours doit être très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