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A/4525/2017 vom 16. Januar 2018</w:t>
      </w:r>
    </w:p>
    <w:p>
      <w:r>
        <w:t>GE Cour de justice, 2018-01-16, FR</w:t>
      </w:r>
    </w:p>
    <w:p>
      <w:r>
        <w:rPr>
          <w:b/>
        </w:rPr>
        <w:t xml:space="preserve">Quelle: </w:t>
      </w:r>
      <w:r>
        <w:t>https://mcp.opencaselaw.ch/entscheid/ge_gerichte_A_4525_2017</w:t>
      </w:r>
    </w:p>
    <w:p>
      <w:r>
        <w:t>FR: GE_GERICHTE A/4525/2017 du 16 janvier 2018</w:t>
      </w:r>
    </w:p>
    <w:p>
      <w:r>
        <w:t>IT: GE_GERICHTE A/4525/2017 del 16 gennaio 2018</w:t>
      </w:r>
    </w:p>
    <w:p>
      <w:pPr>
        <w:pStyle w:val="Heading2"/>
      </w:pPr>
      <w:r>
        <w:t>Erwägungen</w:t>
      </w:r>
    </w:p>
    <w:p>
      <w:r>
        <w:rPr>
          <w:b/>
        </w:rPr>
        <w:t>E. 2</w:t>
      </w:r>
    </w:p>
    <w:p>
      <w:r>
        <w:t>ème section dans la cause SERVICE DE POLICE DU COMMERCE ET DE LUTTE CONTRE LE TRAVAIL AU NOIR contre Monsieur A______ représenté par Me Jacques Roulet, avocat et CHAMBRE ADMINISTRATIVE DE LA COUR DE JUSTICE EN FAIT 1) Par arrêt du 10 octobre 2017 ( ATA/1368/2017 ), la chambre administrative de la Cour de justice (ci-après : la chambre administrative) a admis partiellement le recours interjeté le 7 avril 2017 par Monsieur A______ contre la décision du service de police du commerce et de lutte contre le travail au noir (ci-après : PCTN) du 7 mars 2017 lui infligeant une amende administrative de CHF 2'000.- et prononçant la suspension de sa carte professionnelle de chauffeur de taxi pour une durée de trois mois, en raison de six infractions à la loi sur les taxis et limousines (transport professionnel de personnes au moyen de voitures automobiles) du 21 janvier 2005 (LTaxis - H 1 30) alors en vigueur, intervenues entre le 16 juin 2014 et le 31 octobre 2015.![endif]&gt;![if&gt; La chambre administrative a retenu que la première infraction sanctionnée était prescrite. Les autres infractions étant contestées, le PCTN ne pouvait pas retenir comme déterminante la version des dénonciations, sans procéder à des vérifications supplémentaires. En outre, la décision avait été rendue en violation de la procédure instaurée par la LTaxis, le préavis de la commission de discipline préalable à une décision de mesure ou sanction administrative, n’ayant pas été valablement recueilli. La décision litigieuse a été annulée et la cause a été retournée au PCTN pour instruction et nouvelle décision. 2) Le 13 novembre 2017, le PCTN a saisi la chambre administrative d’une requête en interprétation de l’arrêt susmentionné. ![endif]&gt;![if&gt; Il a pris les conclusions suivantes : « - Dire si, conformément à l’arrêt ATA/1268/2017 et compte tenu de ce que tous les faits de la cause se sont passés avant le 1 er juillet 2017, le service de police du commerce et de lutte contre le travail au noir doit renoncer à prononcer contre M. A______ conjointement une amende et une suspension de la carte professionnelle de chauffeur ; - Dire si, conformément à l’arrêt ATA/1268/2017 et compte tenu de ce que tous les faits de la cause se sont passés avant le 1 er juillet 2017, le service de police du commerce et de lutte contre le travail au noir doit renoncer à prononcer contre M. A______ une amende ou, le cas échéant, la prononcer sans consulter la commission de discipline visée à l’article 48 LTaxis ; - Dire si, conformément à l’arrêt ATA/1268/2017 et compte tenu de ce que tous les faits de la cause se sont passés avant le 1 er juillet 2017, le service de police du commerce et de lutte contre le travail au noir doit renoncer à prononcer contre M. A______ une suspension de la carte professionnelle de chauffeur ou, le cas échéant, la prononcer sans consulter la commission de discipline visée à l’article 48 LTaxis ». 3) Le 15 décembre 2017, M. A______ s’est déterminé sur la demande d’interprétation du PCTN. Celui-ci devait respecter la procédure prévue par la LTaxis ou renoncer au prononcé de toute sanction à son encontre. ![endif]&gt;![if&gt; 4) Le 19 décembre 2017, les parties ont été informées que la cause était gardée à juger. ![endif]&gt;![if&gt;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 1991, p. 253 n. 1146 ss et p. 428 n. 2069 ss).![endif]&gt;![if&gt;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3) Dans le cas particulier, le dispositif de l’arrêt en cause est sans équivoque. Il annule la décision querellée et renvoie la cause au PCTN pour instruction et nouvelle décision, ce qui reprend la teneur du considérant 7 de l’arrêt. ![endif]&gt;![if&gt; Par ailleurs, le dispositif en question ne contient aucune contradiction ni obscurité en regard des considérants. Ce que souhaite en réalité le PCTN, c’est à ce que la chambre de céans trace l’articulation éventuelle entre la LTaxis, sous l’empire de laquelle les faits reprochés se sont déroulés, et la loi sur les taxis et les voitures de transport avec chauffeur du 13 octobre 2016 (LTVTC - H 1 31) qui lui a succédé le 1 er juillet 2017. Cela ne relève pas de l’interprétation mais du conseil juridique, et dépasse tant le cadre de l’art. 84 al. 1 LPA que le rôle d’une juridiction de recours. 4) Dans ces circonstances, la demande d’interprétation sera déclarée irrecevable. ![endif]&gt;![if&gt; Aucun émolument ne sera perçu, ni aucune indemnité de procédure ne sera allouée, l’intimé n’y ayant pas conclu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