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A/4520/2019 vom 17. März 2020</w:t>
      </w:r>
    </w:p>
    <w:p>
      <w:r>
        <w:t>GE Cour de justice, 2020-03-17, FR</w:t>
      </w:r>
    </w:p>
    <w:p>
      <w:r>
        <w:rPr>
          <w:b/>
        </w:rPr>
        <w:t xml:space="preserve">Quelle: </w:t>
      </w:r>
      <w:r>
        <w:t>https://mcp.opencaselaw.ch/entscheid/ge_gerichte_A_4520_2019</w:t>
      </w:r>
    </w:p>
    <w:p>
      <w:r>
        <w:t>FR: GE_GERICHTE A/4520/2019 du 17 mars 2020</w:t>
      </w:r>
    </w:p>
    <w:p>
      <w:r>
        <w:t>IT: GE_GERICHTE A/4520/2019 del 17 marzo 2020</w:t>
      </w:r>
    </w:p>
    <w:p>
      <w:pPr>
        <w:pStyle w:val="Heading2"/>
      </w:pPr>
      <w:r>
        <w:t>Volltext</w:t>
      </w:r>
    </w:p>
    <w:p>
      <w:r>
        <w:t>Genève Cour de justice (Cour de droit public) Chambre des assurances sociales 17.03.2020 A/4520/2019</w:t>
      </w:r>
    </w:p>
    <w:p>
      <w:r>
        <w:t>A/4520/2019 ATAS/289/2020 du 17.03.2020 ( LAA ) , SANS OBJET En fait En droit rÉpublique et canton de genÈve POUVOIR JUDICIAIRE A/4520/2019 ATAS/289/2020 COUR DE JUSTICE Chambre des assurances sociales Arrêt du 17 mars 2020 1 ère Chambre En la cause Madame A______, domiciliée à GENÈVE, représentée par le SYNDICAT UNIA recourante contre ALLIANZ SUISSE SOCIETE D'ASSURANCES SA, Service des sinistres, ZÜRICH intimée EN FAIT 1.        Madame A______ a travaillé depuis le 1 er juin 2015 au service de la société B______ CIE SA en qualité de concierge d'immeuble, et était à ce titre assurée contre les accidents professionnels et non professionnels selon la loi fédérale sur l'assurance-accidents du 20 mars 1981 (LAA - RS 832.20) auprès de ALLIANZ SUISSE Société d'Assurances SA (ci-après : l'assureur). 2.        L'assurée a été victime d'un accident le 7 septembre 2018. Selon la déclaration LAA, elle « a trébuché sur le trottoir et est tombée fortement », et s'est blessée aux deux genoux, à l'épaule gauche et à la colonne cervicale. 3.        Le cas a été pris en charge par l'assureur. 4.        Constatant toutefois qu'elle ne recevait plus d'indemnités depuis le mois de février 2019, l'assurée, confirmant qu'elle était toujours en incapacité de travail, a réclamé le 7 mai 2019 le versement des prestations qui lui étaient dues. 5.        Le 7 mai 2019, l'assureur a informé l'assurée qu'il avait soumis le dossier à son médecin-conseil et qu'il ressortait des conclusions de celui-ci qu'elle ne souffrait plus des suites de son accident depuis le 28 février 2019, et que l'IRM réalisée le 31 octobre 2018 démontrait des signes dégénératifs de l'épaule gauche avec une tendinite calcifiante et des signes d'arthrose préexistante sur le rachis cervical. 6.        Sur demande, l'assureur a communiqué à l'assurée, par courriel du 20 mai 2019, les conclusions - orales - du médecin-conseil. 7.        Le 5 juin 2019, l'assurée a transmis à l'assureur un questionnaire qu'elle avait soumis à son médecin-traitant, le docteur C______, le 27 mai 2019, selon lequel le statu quo sine n'était pas atteint le 28 février 2019, de même que les plaintes, les lésions, les troubles et les affections constatés n'étaient pas uniquement dus à l'accident du 7 septembre 2018. 8.        Par décision du 9 juillet 2019, l'assureur a confirmé que ses prestations ne seraient plus versées à partir du 1 er mars 2019. 9.        L'assurée a formé opposition le 6 août 2019, considérant que les troubles qu'elle avait subis étaient bel et bien en lien de causalité directe avec l'accident du 7 septembre 2018. 10.    Le 9 août 2019, l'assureur a pris acte de l'opposition, et ajouté qu'il avait appris lors d'un entretien se déroulant dans ses locaux avec un collaborateur du service externe le 23 janvier 2019 qu'elle continuait à travailler comme femme de ménage pour D______ SA, à laquelle elle n'avait du reste pas annoncé l'accident. 11.    Sans autres nouvelles, l'assurée a, par courrier du 9 octobre 2019, sommé l'assureur de rendre une décision sur opposition. 12.    Le 6 décembre 2019, l'assurée, toujours par l'intermédiaire de son mandataire, a déposé auprès de la chambre de céans un recours pour déni de justice à l'encontre de l'assureur. 13.    Invité par la chambre de céans à se déterminer, l'assureur a sollicité le 13 janvier 2020 un délai complémentaire de trente jours pour répondre, alléguant le départ à la retraite de la personne en charge de la gestion du dossier. Une prolongation de délai limitée au 30 janvier 2020 lui a été accordée s'agissant d'un recours pour déni de justice. Le 27 janvier 2020, l'assureur a à nouveau sollicité un délai au 10 février 2020. Le 13 février 2020, il a transmis à la chambre de céans copie d'une décision sur opposition rendue le 10 février 2020, et aux termes de laquelle l'opposition du 6 août 2019 était rejetée. Il a déclaré qu'il renonçait à déposer une réponse au vu de la décision rendue, et conclu à ce que la procédure, devenue sans objet, soit rayée du rôle. 14.    Ce courrier a été transmis à l'assurée et la cause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L'assurée a en l'occurrence déposé un recours pour déni de justice à l'encontre de l'assureur. 3.        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Dans un arrêt du 23 avril 2003 (cause I 819/02), le TFA a jugé que, bien que l'on puisse considérer que la limite du tolérable pour un litige de cette nature était proche, un laps de temps de 15 mois entre le recours auprès de la commission de recours AVS/AI, alors compétente,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compétent jusqu'en 2011, a en revanche considéré qu'un déni de justice était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et dans celui d'un autre qui avait attendu dix-huit mois après que la cause ait été renvoyée à l'office pour nouvelle décision suite à l'admission partielle de son recours ( ATAS/62/2007 ).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90 ). 4.        En l'espèce, l'assureur a, par décision du 9 juillet 2019, confirmé qu'il mettait fin aux prestations de l'assurée dès 1 er mars 2019. L'assurée a formé opposition le 6 août 2019, puis, sans nouvelles, a déposé auprès de la chambre de céans un recours pour déni de justice le 6 décembre 2019. 5.        Après avoir sollicité plusieurs délais pour répondre au recours, l'assureur a finalement notifié à l'assurée une décision sur opposition le 10 février 2020, de sorte que le recours est devenu sans objet. Même lorsqu'il invoque un déni de justice formel, le recourant doit en effet être en mesure de faire valoir un intérêt actuel et pratique à l'admission de son recours (ATF 131 I 153 consid. 1.2 p. 157). Un intérêt purement théorique est insuffisant.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 6.        Aux termes de l'art. 61 let. g de la LPGA, le recourant qui obtient gain de cause a toutefois droit au remboursement de ses frais et dépens dans la mesure fixée par le tribunal. Leur montant est déterminé sans égard à la valeur litigieuse d'après l'importance et la complexité du litige (ATFA du 1er mars 1990 en la cause C.P.). Le recourant a droit au remboursement des dépens en vertu de la législation fédérale, même lorsque la procédure est sans objet, pour autant que les chances de succès du procès le justifient (ATF 110 V 57 , consid. 2a ; RCC 1989, p. 318, consid. 2b). Se pose dès lors la question de savoir si tel était le cas en l'occurrence. Le fait que l'assureur ait rendu une décision ne signifie pas pour autant que la procédure ouverte auprès de la chambre de céans aurait eu des chances de succès. En effet, celles-ci dépendent des règles applicables au déni de justice. L'art. 29 al. 1 Cst.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en vigueur depuis le 1 er janvier 2003, qui exige des cantons que la procédure soit simple et rapide et constitue l'expression d'un principe général du droit des assurances sociales (ATF 110 V 61 consid. 4b ; Ueli KIESER, Das einfache und rasche Verfahren, insbesondere im Sozialversicherungsrecht, in : RSAS 1992 p. 272 ainsi que la note No 28, et p. 278 sv. ;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 117 Ia 193 consid. 1b in fine et c p. 197 ; 107 Ib 160 consid. 3b p. 165 ; Jörg Paul MÜLLER, Grundrechte in der Schweiz, Berne 1999, p. 505 s. ; Georg MÜLLER, Commentaire de la Constitution fédérale, n. 93 ad art. 4 aCst. ; HAEFLIGER/SCHÜRMANN, Die Europäische Menschenrechts-konvention und die Schweiz, Berne 1999, p. 200 ss). Selon la jurisprudence rendue sous l'empire de l'art. 4 al. 1 aCst. -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 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 que cette obligation s'apprécie toutefois avec moins de rigueur en procédure pénale et administrative (HAEFLIGER / SCHÜRMANN, op. cit., p. 203-204 ; AUER / MALINVERNI / HOTTELIER, Droit constitutionnel suisse, vol. II, n. 1243). La durée du délai raisonnable n'est pas influencée par des circonstances étrangères au problème à résoudre. Si on ne peut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 ATF 125 V 191 consid. 2a, 375 consid. 2b/aa, 119 Ib 325 consid. 5b ; ATF 122 IV 103 consid. I/4 p. 111; ATF 119 III 1 consid. 3 p. 3; Jörg Paul MÜLLER, op. cit., p. 506 s. ; HAEFLIGER/SCHÜRMANN, op. cit., p. 204 s. ; AUER/MALINVERNI/HOTTELIER, op. cit., nos 1244 ss) ;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l'espèce, il s'est écoulé plus de six mois entre le 6 août 2019 - date à laquelle l'assurée a formé opposition - et le 10 février 2020 - date à laquelle une décision a formellement été rendue. Si ce laps de temps apparaît important, ce d'autant plus que l'assureur a requis de la chambre de céans, à deux reprises, des délais supplémentaires pour répondre au recours, qu'il ne semble pas que l'instruction revêtait la moindre difficulté, ni que l'assureur ait dû entreprendre des démarches particulières avant de statuer, il n'est pas excessif, au vu de la jurisprudence susmentionnée, au point de constituer un déni de justice. Les chances de succès du recours pour déni de justice apparaissent ainsi trop faibles pour justifier l'octroi de dépens à l'assurée. PAR CES MOTIFS, LA CHAMBRE DES ASSURANCES SOCIALES : 1.      Prend acte de la décision rendue par l'intimée le 10 février 2020.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