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A/451/2024 vom 17. März 2025</w:t>
      </w:r>
    </w:p>
    <w:p>
      <w:r>
        <w:t>GE Cour de justice, 2025-03-17, FR</w:t>
      </w:r>
    </w:p>
    <w:p>
      <w:r>
        <w:rPr>
          <w:b/>
        </w:rPr>
        <w:t xml:space="preserve">Quelle: </w:t>
      </w:r>
      <w:r>
        <w:t>https://mcp.opencaselaw.ch/entscheid/ge_gerichte_A_451_2024</w:t>
      </w:r>
    </w:p>
    <w:p>
      <w:r>
        <w:t>FR: GE_GERICHTE A/451/2024 du 17 mars 2025</w:t>
      </w:r>
    </w:p>
    <w:p>
      <w:r>
        <w:t>IT: GE_GERICHTE A/451/2024 del 17 marzo 2025</w:t>
      </w:r>
    </w:p>
    <w:p>
      <w:pPr>
        <w:pStyle w:val="Heading2"/>
      </w:pPr>
      <w:r>
        <w:t>Erwägungen</w:t>
      </w:r>
    </w:p>
    <w:p>
      <w:r>
        <w:rPr>
          <w:b/>
        </w:rPr>
        <w:t>E. 2</w:t>
      </w:r>
    </w:p>
    <w:p>
      <w:r>
        <w:t>Les demandes d’actes d’instruction soumises par les parties dans la présente cause sont sans objet au vu de ce qui suit.</w:t>
      </w:r>
    </w:p>
    <w:p>
      <w:r>
        <w:rPr>
          <w:b/>
        </w:rPr>
        <w:t>E. 3</w:t>
      </w:r>
    </w:p>
    <w:p>
      <w:r>
        <w:t>Se pose en effet la question de la prescription de l’amende infligée.</w:t>
      </w:r>
    </w:p>
    <w:p>
      <w:r>
        <w:rPr>
          <w:b/>
        </w:rPr>
        <w:t>E. 3.1</w:t>
      </w:r>
    </w:p>
    <w:p>
      <w:r>
        <w:t>La prescription est une question de droit matériel qu’il y a lieu d’examiner d'office lorsqu'elle joue en faveur de l’administré (ATF 138 II 169 consid. 3.2 ; ATA/949/2024 du 14 août 2024 consid. 3 ; ATA/917/2021 du 7 septembre 2021).</w:t>
      </w:r>
    </w:p>
    <w:p>
      <w:r>
        <w:rPr>
          <w:b/>
        </w:rPr>
        <w:t>E. 3.2</w:t>
      </w:r>
    </w:p>
    <w:p>
      <w:r>
        <w:t>Ni la LDét ni la LPA ni la loi sur l'inspection et les relations du travail du 12 mars 2004 (LIRT - J 1 05) ne contiennent de disposition réglant la question de la prescription. Il s’agit d’une lacune proprement dite, dès lors que le législateur s’est abstenu de régler un point qu’il aurait dû fixer et qu’aucune solution ne se dégage du texte ou de l’interprétation de la loi, laquelle doit être comblée par le juge ( ATA/949/2024 précité consid. 3.1 ; ATA/1308/2020 du 15 décembre 2020 consid. 3a). Il y a lieu de faire application, par analogie, de l’art. 109 du code pénal suisse du 21 décembre 1937 (CP - RS 311.0), à teneur duquel la prescription de l'action pénale est de trois ans pour les contraventions, soit les infractions passibles d’une amende (art. 103 CP ; ATA/917/2021 précité consid. 2a ; ATA/871/2020 du 8 septembre 2020 consid. 2d).</w:t>
      </w:r>
    </w:p>
    <w:p>
      <w:r>
        <w:rPr>
          <w:b/>
        </w:rPr>
        <w:t>E. 3.3</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QUELOZ/Laurent MOREILLON/Robert ROTH [éd.], Commentaire romand - code pénal I, 2 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 n. 29 ad. art. 98 CP).</w:t>
      </w:r>
    </w:p>
    <w:p>
      <w:r>
        <w:rPr>
          <w:b/>
        </w:rPr>
        <w:t>E. 3.4</w:t>
      </w:r>
    </w:p>
    <w:p>
      <w:r>
        <w:t>En l’espèce, les contraventions reprochées à la recourante, consistant en des versements inférieurs aux salaires minimaux à une employée entre le 1 er avril 2014 et le 31 juillet 2021 doivent être considérés comme ayant cessé à cette dernière date. C'est dès lors à partir de cette date que la prescription a commencé à courir. Il en découle que les faits sont prescrits depuis le 1 er août 2024, ce dont les deux parties conviennent. Il y a donc lieu d’admettre le recours et d’annuler la décision attaquée.</w:t>
      </w:r>
    </w:p>
    <w:p>
      <w:r>
        <w:rPr>
          <w:b/>
        </w:rPr>
        <w:t>E. 4</w:t>
      </w:r>
    </w:p>
    <w:p>
      <w:r>
        <w:t>Vu l’issue du recours, aucun émolument ne sera perçu (art. 87 al. 1 LPA) et une indemnité de procédure sera allouée à la recourante (art. 87 al. 2 LPA). Cette dernière sera fixée à CHF 1'000.-, dans la mesure où l’admission du recours se fonde exclusivement sur l’avènement de la prescription et où le recours ne contient que quelques lignes (p. 46 s.) à ce sujet, à propos de l’examen de la proportionnalité de l’amende infligée.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