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A/451/2019 vom 19. Dezember 2019</w:t>
      </w:r>
    </w:p>
    <w:p>
      <w:r>
        <w:t>GE Cour de justice, 2019-12-19, FR</w:t>
      </w:r>
    </w:p>
    <w:p>
      <w:r>
        <w:rPr>
          <w:b/>
        </w:rPr>
        <w:t xml:space="preserve">Quelle: </w:t>
      </w:r>
      <w:r>
        <w:t>https://mcp.opencaselaw.ch/entscheid/ge_gerichte_A_451_2019</w:t>
      </w:r>
    </w:p>
    <w:p>
      <w:r>
        <w:t>FR: GE_GERICHTE A/451/2019 du 19 décembre 2019</w:t>
      </w:r>
    </w:p>
    <w:p>
      <w:r>
        <w:t>IT: GE_GERICHTE A/451/2019 del 19 dicembre 2019</w:t>
      </w:r>
    </w:p>
    <w:p>
      <w:pPr>
        <w:pStyle w:val="Heading2"/>
      </w:pPr>
      <w:r>
        <w:t>Erwägungen</w:t>
      </w:r>
    </w:p>
    <w:p>
      <w:r>
        <w:rPr>
          <w:b/>
        </w:rPr>
        <w:t>E. 1</w:t>
      </w:r>
    </w:p>
    <w:p>
      <w:r>
        <w:t>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w:t>
      </w:r>
    </w:p>
    <w:p>
      <w:r>
        <w:rPr>
          <w:b/>
        </w:rPr>
        <w:t>E. 2</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w:t>
      </w:r>
    </w:p>
    <w:p>
      <w:r>
        <w:rPr>
          <w:b/>
        </w:rPr>
        <w:t>E. 3</w:t>
      </w:r>
    </w:p>
    <w:p>
      <w:r>
        <w:t>L'autorité peut d'office ou sur requête ordonner des mesures provisionnelles en exigeant au besoin des sûretés (art. 21 al. 1 LPA). Les décisions sur effet suspensif et mesures provisionnelles sont prises par le président, respectivement par le vice-président, ou en cas d'empêchement de ceux-ci, par un juge (art. 21 al. 2 LPA; art. 9 al. 1 du règlement interne de la chambre administrative du 26 septembre 2017).</w:t>
      </w:r>
    </w:p>
    <w:p>
      <w:r>
        <w:rPr>
          <w:b/>
        </w:rPr>
        <w:t>E.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rPr>
          <w:b/>
        </w:rPr>
        <w:t>E. 5</w:t>
      </w:r>
    </w:p>
    <w:p>
      <w:r>
        <w:t>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7.a. Selon la jurisprudence et la doctrine,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w:t>
      </w:r>
    </w:p>
    <w:p>
      <w:r>
        <w:rPr>
          <w:b/>
        </w:rPr>
        <w:t>E. 8</w:t>
      </w:r>
    </w:p>
    <w:p>
      <w:r>
        <w:t>Dans sa pratique liée à la restitution de l'effet suspensif, le Tribunal fédéral considère que l'intérêt de l'étranger à ne pas quitter la Suisse avant l'issue de la procédure pendante devant lui est, par nature, importante et l'emporte, sous réserve de circonstances exceptionnelles, sur l'intérêt public à son éloignement immédiat (ordonnance du 15 juillet 2015 dans la cause 2C_607/2015 ; Claude-Emmanuel DUBEY, La procédure de recours devant le Tribunal fédéral, in François BELLANGER/Thierry TANQUEREL [éd.], Le contentieux administratif, 2013, 137-178, p. 166).</w:t>
      </w:r>
    </w:p>
    <w:p>
      <w:r>
        <w:rPr>
          <w:b/>
        </w:rPr>
        <w:t>E. 9</w:t>
      </w:r>
    </w:p>
    <w:p>
      <w:r>
        <w:t>En l'espèce, il ressort du dossier que les enfants concernés, arrivés en Suisse à l'âge de deux ans pour C______ et qui y sont nés pour les trois autres, y résident, de fait, depuis plus de cinq ans pour ceux qui ont atteint cet âge, soit le nombre d'années requis pour qu'une famille avec enfants dans la clandestinité puisse éventuellement bénéficier d'une régularisation de sa situation, si les autres conditions exigées sont remplies. Ils sont scolarisés à Genève. Au vu des éléments qui précèdent, il se justifie, par l'octroi de mesures provisionnelles, de surseoir à l'exécution du renvoi des intéressés ; un retour dans leur pays d'origine en milieu d'année scolaire compliquerait, à première vue, leur éventuelle réintégration en cas d'issue défavorable de leur recours, alors que le fait d'attendre le prononcé de l'arrêt à rendre en Suisse, où ils disposent d'un logement et ne dépendent pas de l'aide sociale, n'atteint pas excessivement les intérêts publics.</w:t>
      </w:r>
    </w:p>
    <w:p>
      <w:r>
        <w:rPr>
          <w:b/>
        </w:rPr>
        <w:t>E. 10</w:t>
      </w:r>
    </w:p>
    <w:p>
      <w:r>
        <w:t>Le sort des frais sera réservé jusqu'à droit jugé au fond. LA CHAMBRE ADMINISTRATIVE admet la demande de mesures provisionnelles déposée par Madame et Monsieur A______, pour eux-mêmes ainsi que pour leurs enfants mineurs B______, C______ D______ et E______ A______ ; suspend l'exécution du renvoi des intéressés jusqu'à droit jugé au fond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communique la présente décision à Me Yves Rausis, avocat des recourants à l'office cantonal de la population et des migrations, au Tribunal administratif de première instance, ainsi qu'au secrétariat d'État aux migrations.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