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A/4510/2017 vom 30. Oktober 2017</w:t>
      </w:r>
    </w:p>
    <w:p>
      <w:r>
        <w:t>GE Cour de justice, 2017-10-30, FR</w:t>
      </w:r>
    </w:p>
    <w:p>
      <w:r>
        <w:rPr>
          <w:b/>
        </w:rPr>
        <w:t xml:space="preserve">Quelle: </w:t>
      </w:r>
      <w:r>
        <w:t>https://mcp.opencaselaw.ch/entscheid/ge_gerichte_A_4510_2017</w:t>
      </w:r>
    </w:p>
    <w:p>
      <w:r>
        <w:t>FR: GE_GERICHTE A/4510/2017 du 30 octobre 2017</w:t>
      </w:r>
    </w:p>
    <w:p>
      <w:r>
        <w:t>IT: GE_GERICHTE A/4510/2017 del 30 ottobre 2017</w:t>
      </w:r>
    </w:p>
    <w:p>
      <w:pPr>
        <w:pStyle w:val="Heading2"/>
      </w:pPr>
      <w:r>
        <w:t>Volltext</w:t>
      </w:r>
    </w:p>
    <w:p>
      <w:r>
        <w:t>Genève Cour de justice (Cour de droit public) Chambre administrative 01.12.2017 A/4510/2017</w:t>
      </w:r>
    </w:p>
    <w:p>
      <w:r>
        <w:t>A/4510/2017 ATA/1560/2017 du 01.12.2017 ( ANIM ) , REFUSE Recours TF déposé le 03.01.2018, rendu le 07.06.2018, IRRECEVABLE, 2C_8/2018 RÉPUBLIQUE ET CANTON DE GENÈVE POUVOIR JUDICIAIRE A/4510/2017 - ANIM ATA/1560/2017 COUR DE JUSTICE Chambre administrative Décision du 1 er décembre 2017 sur effet suspensif dans la cause Madame A______ représentée par Me Michael Mitzicos-Giogios, avocat contre SERVICE DE LA CONSOMMATION ET DES AFFAIRES VÉTÉRINAIRES Attendu en fait : 1) Par décision du 30 octobre 2017, déclarée exécutoire nonobstant recours, le service de la consommation et des affaires vétérinaires (ci-après : SCAV) a ordonné le séquestre définitif du chien, inscrit comme Staffordshire Terrier américain femelle ou Am’Staff, né le 16 mai 2015, RID 1______, appartenant à Madame  A______, laquelle est domiciliée dans le canton de Genève depuis sa naissance selon les registres de l’office cantonal de la population et des migrations (ci-après : OCPM). Tous les frais inhérents au séquestre, à la garde et à la procédure administrative étaient mis à la charge de Mme A______.![endif]&gt;![if&gt; Le chien avait été acquis en France par l’intéressée alors qu’elle poursuivait des études dans ce pays. Il y avait été dûment enregistré, vacciné et assuré. Mme A______ avait importé le chien à Genève en juin 2017, alors qu’elle n’ignorait pas qu’il appartenait à une race interdite sur le territoire cantonal. Sa détention ne pouvait être autorisée. 2) Par acte du 10 novembre 2017, Mme A______ a recouru auprès de la chambre administrative de la Cour de justice du canton de Genève (ci-après : la chambre administrative) contre la décision susmentionnée, concluant à son annulation et à la restitution du chien aux fins de son acheminement chez des tiers domiciliés en France. Le séquestre était disproportionné, une simple mesure de mise en demeure d’éloignement étant suffisante, vu les dispositions en cours pour que l’animal soit adopté par les tiers précités. La décision violait la liberté personnelle et le droit d’être entendu n’avait pas été respecté. La restitution de l’effet suspensif au recours était sollicitée.![endif]&gt;![if&gt; 3) Le 28 novembre 2017, le SCAV a conclu au rejet de la demande de restitution de l’effet suspensif au recours. ![endif]&gt;![if&gt; Le chien appartenait à une race dangereuse interdite de par la loi dans le canton et sa détention ne pouvait être autorisée, indépendamment du comportement de l’animal. Le refoulement n’était possible que si le détenteur était domicilié hors du territoire genevois. En l’état, les tiers mentionnés dans le recours étant domiciliés en France, le chien « ne [pouvait] pas être refoulé ». Le séquestre définitif était « une mesure proportionnelle et adéquate au vu de la possibilité de procéder à l’euthanasie de l’animal ». 4) Le 29 novembre 2017, la détermination du SCAV a été transmise à Mme A______ et la cause a été gardée à juger sur effet suspensif. ![endif]&gt;![if&gt; Considérant en droit : 1) La question de la recevabilité du recours doit être réservée, et sera examinée dans l'arrêt final.![endif]&gt;![if&gt; 2) Les décisions sur effet suspensif et sur mesures provisionnelles sont prises par le président de la chambre administrative, respectivement par le vice-président, ou en cas d'empêchement de ceux-ci, par un juge (art. 9 al. 1 du règlement interne de la chambre administrative du 26 septembre 2017 ; ci-après : le règlement).![endif]&gt;![if&gt; 3) Sauf disposition légale contraire, le recours a effet suspensif à moins que l’autorité qui a pris la décision attaquée n’ait ordonné l’exécution nonobstant recours (art. 66 al. 1 de la loi sur la procédure administrative du 12 septembre 1985 - LPA - E 5 10).![endif]&gt;![if&gt;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la recourante conclut à la restitution de l'effet suspensif au recours, sans motivation spécifique.![endif]&gt;![if&gt; L'existence invoquée d'une atteinte à la liberté personnelle et son caractère le cas échéant licite au regard des conditions posées par l'art. 36 al. 3 de la Constitution fédérale de la Confédération suisse du 18 avril 1999 (Cst. - RS 101) fera l'objet d'un examen dans l'arrêt rendu sur le fond. Il en va de même s’agissant de la violation alléguée du droit d’être entendu. En l’état, il n’est pas contesté que la recourante a amené son chien de race Am’Staff, acquis en France, sur le territoire genevois où elle est domiciliée officiellement et où elle réside actuellement de manière effective. Elle ne pouvait ignorer que la détention d’un animal de cette race était interdite dans le canton. Si l'instruction de la présente cause doit justement permettre de déterminer si le prononcé de la décision querellée est justifié et si celle-ci est proportionnée, force est de constater qu'en l'état, la mise en balance des intérêts en jeu ne permet pas de revenir sur le caractère immédiatement exécutoire de la décision, la recourante ne faisant valoir aucun intérêt privé pertinent prévalant sur l’intérêt public à faire respecter l’interdiction de présence sur le territoire cantonal de chiens répertoriés comme dangereux. La demande de restitution de l’effet suspensif sera donc refusée en tant qu’elle porte sur la restitution du chien. 8) Dès lors néanmoins que la décision attaquée prévoit le séquestre définitif de l’animal en cause, il se justifie d'ordonner d'office, à titre de mesure provisionnelle et afin de conserver au litige son objet, que l'animal concerné reste jusqu'à droit jugé en mains du SCAV et ne soit pas donné, vendu ou mis à mort ( ATA/861/2016 du 13 octobre 2016 consid. 9 ; ATA/1021/2015 du 1er octobre 2015).![endif]&gt;![if&gt; 9) La charge du paiement des frais de séquestre, de garde l’animal, et de procédure étant liée à l’issue du litige au fond, l’effet suspensif sera restitué au recours s’agissant des imputations de ceux-ci à la recourante. ![endif]&gt;![if&gt; 10) Le sort des frais de la présente décision sera réservé jusqu’à droit jugé au fond. ![endif]&gt;![if&gt; LA CHAMBRE ADMINISTRATIVE refuse de restituer l’effet suspensif en tant qu’il porte sur le séquestre du chien Staffordshire Terrier américain femelle ou Am’Staff, né le 16 mai 2015, RID 1______ ; ordonne que l’animal concerné reste jusqu’à droit jugé au fond en mains du service de la consommation et des affaires vétérinaires et ne soit pas donné, vendu ou mis à mort ; restitue l’effet suspensif au recours en tant qu’il porte sur les imputations de frais et émolument des chiffres 2 à 4 de la décision querellée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Mitzicos-Giogios, avocat de la recourante, ainsi qu'au service de la consommation et des affaires vétérinaires.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