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A/450/2019 vom 3. Oktober 2023</w:t>
      </w:r>
    </w:p>
    <w:p>
      <w:r>
        <w:t>GE Cour de justice, 2023-10-03, FR</w:t>
      </w:r>
    </w:p>
    <w:p>
      <w:r>
        <w:rPr>
          <w:b/>
        </w:rPr>
        <w:t xml:space="preserve">Quelle: </w:t>
      </w:r>
      <w:r>
        <w:t>https://mcp.opencaselaw.ch/entscheid/ge_gerichte_A_450_2019</w:t>
      </w:r>
    </w:p>
    <w:p>
      <w:r>
        <w:t>FR: GE_GERICHTE A/450/2019 du 3 octobre 2023</w:t>
      </w:r>
    </w:p>
    <w:p>
      <w:r>
        <w:t>IT: GE_GERICHTE A/450/2019 del 3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w:t>
      </w:r>
    </w:p>
    <w:p>
      <w:r>
        <w:rPr>
          <w:b/>
        </w:rPr>
        <w:t>E. 2</w:t>
      </w:r>
    </w:p>
    <w:p>
      <w:r>
        <w:t>Le litige porte sur le bien-fondé des décisions de l’OCPM refusant à la recourante la délivrance d’une autorisation de séjour.![endif]&gt;![if&gt;</w:t>
      </w:r>
    </w:p>
    <w:p>
      <w:r>
        <w:rPr>
          <w:b/>
        </w:rPr>
        <w:t>E. 2.1</w:t>
      </w:r>
    </w:p>
    <w:p>
      <w:r>
        <w:t>Le 1 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et à la jurisprudence du Tribunal fédéral (arrêt du Tribunal fédéral 2C_404/2022 du 4 août 2022 consid. 6.1), les demandes déposées avant le 1 er janvier 2019 sont régies par l'ancien droit.![endif]&gt;![if&gt; En l’occurrence, la requête ayant abouti à la décision du 20 décembre 2018 (demande d’autorisation de séjour pour traitement médical, respectivement pour cas de rigueur) a été déposée en juillet 2014, de sorte que c’est l’ancien droit qui s’applique à ce volet du litige. S’agissant de la requête ayant fait l’objet de la décision du 20 septembre 2022 (demande d’autorisation de séjour au titre de regroupement familial), elle a été déposée le 31 janvier 2019. Cette demande est donc régie par le nouveau droit. Cette distinction apparaît cependant théorique, la plupart des dispositions de la LEI étant demeurées identiques.</w:t>
      </w:r>
    </w:p>
    <w:p>
      <w:r>
        <w:rPr>
          <w:b/>
        </w:rPr>
        <w:t>E. 2.2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Cameroun.![endif]&gt;![if&gt;</w:t>
      </w:r>
    </w:p>
    <w:p>
      <w:r>
        <w:rPr>
          <w:b/>
        </w:rPr>
        <w:t>E. 2.3</w:t>
      </w:r>
    </w:p>
    <w:p>
      <w:r>
        <w:t>Aux termes de l'art. 29 LEI, un étranger peut être admis en vue d'un traitement médical. Le financement et le départ de Suisse doivent être garantis. ![endif]&gt;![if&gt; Même lorsque les conditions posées à l'art. 29 LEI sont cumulativement remplies, l'étranger ne dispose pas d'un droit à la délivrance d'une autorisation de séjour pour suivre un traitement médical en Suisse, l'art. 29 LEI étant en effet rédigé en la forme potestative (arrêt du Tribunal administratif fédéral [ci-après : TAF] F-235/2018 du 4 avril 2019 consid. 6.1), sauf à pouvoir se prévaloir d'une disposition particulière du droit fédéral ou d'un traité lui conférant un tel droit, ce qui n'est pas le cas en l'espèce. L'autorisation de séjour pour traitement médical est une autorisation de courte durée. Elle peut ainsi être octroyée pour une durée limitée d'une année au plus (art. 32 al. 1 LEI). Une prolongation jusqu'à une durée totale de deux ans est toutefois envisageable (art. 32 al. 3 LEI).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 arrêt du TAF F-235/2018 précité consid. 6.6).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(Martina CARONI/Lisa OTT, Bundesgesetz über die Ausländerinnen und Ausländer (AuG), 2010, n. 11 ad art. 29). Ainsi par exemple, le départ de Suisse n'est pas assuré lorsque l'intéressé doit suivre un traitement médical sur une longue période (cinq à dix ans) et que la fin de son séjour envisagé en Suisse n'est pas clairement définie (arrêt du TAF C-6330/2014 du 1 er octobre 2015 consid. 4.3.2).</w:t>
      </w:r>
    </w:p>
    <w:p>
      <w:r>
        <w:rPr>
          <w:b/>
        </w:rPr>
        <w:t>E. 2.4</w:t>
      </w:r>
    </w:p>
    <w:p>
      <w:r>
        <w:t>Aux termes de l'art. 30 al. 1 let. b LEI, il est possible de déroger aux conditions d'admission (art. 18 à 29 LEI) notamment dans le but de tenir compte des cas individuels d'une extrême gravité ou d'intérêts publics majeurs.![endif]&gt;![if&gt; L’art. 31 al. 1 OASA, dans sa teneur au moment de sa demande d’autorisation de séjour pour cas de rigueur,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[ci-après :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2.5</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2.1).![endif]&gt;![if&gt;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w:t>
      </w:r>
    </w:p>
    <w:p>
      <w:r>
        <w:rPr>
          <w:b/>
        </w:rPr>
        <w:t>E. 2.6</w:t>
      </w:r>
    </w:p>
    <w:p>
      <w:r>
        <w:t>En l’occurrence, la recourante sollicite une autorisation de séjour « à quelque titre que ce soit ». Il convient donc d’examiner successivement son droit à une autorisation de séjour en vue de traitement médical (art. 29 LEI), pour cas d’extrême gravit (art. 30 LEI) et pour regroupement familial fondée sur l’ALCP.![endif]&gt;![if&gt; S’agissant d’abord de sa requête en autorisation de séjour en vue de traitement médical (art. 29 LEI), force est de relever que le retour de la recourante au Cameroun n’est manifestement pas garanti. La recourante, qui a déposé une demande d’autorisation de séjour pour cas de rigueur en 2014, a maintes fois exprimé sa volonté de demeurer en Suisse. Les conditions – cumulatives – de l’art. 29 LEI pour l’octroi d’une autorisation de séjour en vue d’un traitement médical ne sont dès lors pas remplies, ce que la recourante ne conteste pas. C’est le lieu de préciser qu’elle n’a, quoi qu’il en soit, aucun droit à l’octroi d’une autorisation, l’art. 29 LEI ayant pour seul but d’exclure l’octroi d’un tel permis à celui qui n’en satisfait pas les conditions. Sous l’angle du cas de rigueur, la recourante se prévaut des nombreuses atteintes à sa santé et du soutien de ses proches en Suisse. Les problèmes de santé de la recourante sont certes nombreux. Elle a été victime de deux AVC en 2003 et 2014 ayant provoqué une hémiparésie gauche, nécessitant la marche avec une canne et des difficultés de mobilisation, ainsi qu’une HTA, traitée de longue date et bien contrôlée. À son arrivée en Suisse, une gonarthrose gauche a été diagnostiquée et le traitement, consistant en la pose d’une prothèse totale du genou gauche, a été effectué en août 2017. Selon le rapport médical du Dr I______, elle souffre encore de douleurs au genou gauche, ce qui a entraîné une hospitalisation en octobre 2022. En juin et août 2016, l’intéressée a également subi deux interventions chirurgicales pour un cancer épidermoïde micro-invasif du col de l’utérus, avec un status en ordre à deux ans de la fin du traitement (selon les rapports médicaux du 4 octobre 2018). En janvier 2022, une pseudo‑hypoparathyroïdie a été diagnostiquée, provoquant des épisodes d’hypocalcémies. En novembre 2022, la recourante a subi une chirurgie élective en raison d’un conflit femoro-patellaire de la prothèse totale de son genou gauche. Enfin, en juin 2023, la recourante a encore subi une intervention de la cataracte. S’agissant de son traitement, il consiste en la prise d’anticoagulation thérapeutique (à vie), de contrôles réguliers en endocrinologie et en cardiologie, d’une évaluation régulière en orthopédie ainsi qu’en la poursuite d’un traitement médicamenteux. Ainsi que l’a relevé le TAPI, l’état actuel de la recourante est stable, certaines affections étant désormais traitées, voire guéries, même si un suivi reste nécessaire. La recourante l’admet du reste expressément dans ses écritures devant la chambre de céans. Rien au dossier ne vient appuyer ses dires selon lesquels elle aurait subi la pose d’une nouvelle prothèse. Les documents médicaux produits à l’appui de sa réplique font certes état d’une chirurgie élective subie en novembre 2022 en raison d’un conflit femoro-patellaire de la prothèse totale de son genou gauche. Les suites postopératoires ont toutefois été décrites comme favorables avec un contrôle radiologique satisfaisant, des douleurs bien maîtrisées, la recourante ayant rapidement récupéré son autonomie grâce à la physiothérapie de rééducation à la marche (rapport des HUG du 22 novembre 2022). Comme il sera exposé ci-après, si l’intéressée critique la qualité des soins et infrastructures de son pays d’origine, elle ne démontre pas l’impossibilité d’avoir accès aux soins et médicaments dont elle a besoin et rien au dossier n’indique que tel serait le cas, étant précisé qu’elle a déjà été prise en charge au Cameroun lors de son premier AVC en 2003. Le fait que la qualité des soins dispensés dans son pays d’origine serait inférieure à celle existant en Suisse ne suffit pas à justifier une exception aux mesures de limitation du nombre des étrangers. Pour le reste, la recourante est arrivée en Suisse en 2014, soit il y a neuf ans. La durée de ce séjour doit toutefois doit être relativisée dans la mesure où, depuis l’échéance de son visa le 14 juillet 2014, il a été effectué dans l'illégalité, puis au bénéfice d'une tolérance des autorités de migration. Arrivée à Genève à l’âge de 62 ans, la recourante ne s’y est intégrée ni professionnellement ni socialement. Elle n'allègue pas avoir noué des relations fortes avec des personnes locales ni s'être engagée dans la vie culturelle ou associative du canton, les seuls contacts qu’elle mentionne dans ses écritures étant les membres de sa famille. Elle ne dépend certes pas de l’aide sociale, à tout le moins jusqu’en avril 2017 (date de l’attestation de l’hospice). Force est toutefois de constater qu’elle a fait l’objet de poursuites par le passé, même si, au 4 mai 2022, celles-ci ont toutes été réglées. Ainsi, et comme l’a relevé le TAPI, une future dépendance à l’aide sociale n’est pas exclue, étant précisé que son fils, C______, touche des prestations de l’hospice, et que son autre fils, B______, a contracté d’importantes dettes depuis 2019. Dans ces conditions, les seules relations qu’elle entretient avec sa famille résidant à Genève ne suffisent pas pour lui reconnaître des liens d’une certaine intensité avec la Suisse, étant rappelé qu’elle a encore des liens avec son pays d'origine, où résident ses deux filles, étant rappelé que des visas de retour ont été demandés pour raisons familiales en 2016 et 2018. La recourante ne présente donc pas une situation de détresse personnelle au sens de l'art. 30 al. 1 let. b LEI, si bien qu’il ne se justifie pas de déroger aux conditions d'admission en Suisse en sa faveur, au vu de la jurisprudence très stricte en la matière. La recourante ne peut pas non plus tirer de droit de l’art. 8 CEDH. Ainsi que l’a retenu le TAPI, et sans que ce point n’ait été contesté devant la chambre de céans, la recourante n’a pas démontré qu’elle se trouverait dans un rapport de dépendance particulier à l’égard de ses fils et la nièce. Il n’est en particulier pas établi que son état de santé nécessiterait une prise en charge permanente que seuls ses deux fils, voire sa nièce, seraient en mesure d’assumer. Partant, au vu des éléments qui précèdent, l’OCPM n’a ni violé la loi ni abusé de son pouvoir d’appréciation en refusant de préaviser positivement auprès du SEM l’octroi d’une autorisation de séjour en faveur de la recourante.</w:t>
      </w:r>
    </w:p>
    <w:p>
      <w:r>
        <w:rPr>
          <w:b/>
        </w:rPr>
        <w:t>E. 3</w:t>
      </w:r>
    </w:p>
    <w:p>
      <w:r>
        <w:t>Reste à examiner si la recourante a droit à une autorisation de séjour au titre de regroupement familial avec son fils, B______, ressortissant français.![endif]&gt;![if&gt;</w:t>
      </w:r>
    </w:p>
    <w:p>
      <w:r>
        <w:rPr>
          <w:b/>
        </w:rPr>
        <w:t>E. 3.1</w:t>
      </w:r>
    </w:p>
    <w:p>
      <w:r>
        <w:t>Selon l'art. 3 par. 1 annexe I ALCP, en relation avec l'art. 7 let. d ALCP, les membres de la famille d'une personne ressortissant d'une partie contractante ayant un droit de séjour ont le droit de s'installer avec elle, à condition que celle-ci dispose d'un logement approprié. Sont notamment considérés comme membres de la famille, quelle que soit leur nationalité, les ascendants de cette personne ou ceux de son conjoint qui sont à sa charge (art. 3 par. 2 let. b annexe I ALCP).  ![endif]&gt;![if&gt; La qualité de membre de la famille « à charge » résulte du soutien du membre de la famille tel qu'assuré matériellement par le ressortissant UE/AELE bénéficiant du droit de séjour en Suisse (ATF 135 II 369 consid. 3.1 et les arrêts cités ; arrêts du Tribunal fédéral 2C_771/2021 du 15 septembre 2022 consid. 4.2 ; 2C_184/2021 du 26 août 2021 consid. 3.2). Ce qui importe, c'est de savoir si, compte tenu de sa situation économique et sociale, le parent ascendant est en mesure de subvenir lui‑même à ses besoins essentiels, ou s'il est tributaire de moyens financiers supplémentaires apportés par le titulaire du droit de séjour (ATF 135 II 369 consid. 3.1 ; arrêts du Tribunal fédéral 2C_771/2021 précité consid. 4.3 ; 2C_184/2021 précité consid. 3.2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(ATF 135 II 369 consid. 3.1 et 3.2 ; arrêts du Tribunal fédéral 2C_433/2021 du 21 octobre 2021 consid. 5.1 ; 2C_757/2019 du 21 avril 2020 consid. 4.2). En d'autres termes, le regroupement familial d'un ascendant provenant de l'étranger présuppose un soutien matériel par le regroupant existant au préalable dans le pays d'origine ou de provenance (cf. Martina CARONI et al., Migrationsrecht, 5e éd. 2022, n° 1015 p. 409; Peter UEBERSAX et al., Migrationsrecht in a nutshell, 2021, p. 119). Ce n'est que si l'ascendant séjourne légalement en Suisse depuis plusieurs années déjà qu'il convient de se baser sur le soutien matériel qu'il reçoit effectivement dans ce pays (ATF 135 II 369 consid. 3.2 ; arrêts du Tribunal fédéral 2C_771/2021 précité consid. 4.3 ; 2C_757/2019 précité consid. 4.2 et les arrêts cités). Seul l'aspect matériel de l'entretien de l'ascendant entre en ligne de compte et non les besoins sociaux (arrêt du Tribunal fédéral 2C_771/2021 précité consid. 4.4 et les arrêts cités). L'entretien matériel peut également être fourni par des prestations en nature (ATF 135 II 369 consid. 3.1 ; arrêt du Tribunal fédéral 2C_757/2019 précité consid. 4.4). L'existence d'un lien de dépendance effectif doit être prouvée (arrêt du Tribunal fédéral 2C_771/2021 précité consid. 4.4 et les arrêts cités). À cela s'ajoute que le ressortissant UE/AELE résidant en Suisse doit avoir des ressources financières suffisantes pour continuer à assurer l'entretien nécessaire des membres de sa famille ou de celle de son conjoint, une fois que ceux-ci l'ont rejoint. Enfin, il faut qu'une vie familiale (sociale) ait effectivement existé avant le regroupement familial (cf. arrêt du Tribunal fédéral 2C_433/2021 précité consid. 5.1 et les arrêts cités).</w:t>
      </w:r>
    </w:p>
    <w:p>
      <w:r>
        <w:rPr>
          <w:b/>
        </w:rPr>
        <w:t>E. 3.2</w:t>
      </w:r>
    </w:p>
    <w:p>
      <w:r>
        <w:t>En l’espèce, les justificatifs d’envois d’argent effectués par son fils en faveur de la recourante au Cameroun pour la période du 14 décembre 2009 au 15 février 2014 attestent de 32 transferts pour un montant total de CHF 5'024.87. La question de savoir si les montants perçus par la recourante lui permettaient de subvenir à ses besoins essentiels peut toutefois rester ouverte. La recourante n’a en effet pas démontré que son fils participait à son entretien de manière régulière et continue depuis son arrivée en Suisse en 2014. Ainsi que l’a relevé le TAPI, les éléments au dossier laissent plutôt penser que c’est sa nièce, F______, qui la prenait en charge. Pour ce motif déjà, elle ne peut pas se prévaloir d'un droit de séjour découlant de l'art. 3 annexe I ALCP. S’ajoute à cela qu’il ressort des pièces versées au dossier que son fils ne dispose pas des moyens financiers suffisants pour subvenir à son entretien en Suisse. Au mois de mai 2022, il faisait l’objet de poursuites actives pour un montant total de CHF 6'815.70, de cinq actes de défaut de biens pour un montant total de CHF 41'602.27 ainsi que d’une saisie sur salaire mise en place en août 2022. Devant la chambre de céans, la recourante ne conteste pas ces éléments, ni n’apporte de pièces justificatives démontrant que la situation financière de son fils se serait, depuis, assainie. La seule allégation, non étayée, selon laquelle il aurait trouvé un arrangement de paiement avec ses créanciers ne suffit pas. La chambre de céans relève au demeurant que la demande d’autorisation de séjour pour regroupement familial a été formée le 31 janvier 2019, soit cinq ans après son arrivée en Suisse et quelques semaines après le refus de lui octroyer une autorisation pour cas de rigueur. De plus, la recourante a indiqué n’avoir été hébergée chez son fils, B______, qu’à partir du 1 er janvier 2019, étant relevé qu’elle a déclaré avoir emménagé dans son appartement sis rue D______, alors qu’à cette date, son fils était déjà domicilié à la rue E______. Dans ces conditions et ainsi que l’a relevé le TAPI, la démarche de la recourante apparaît répondre davantage à un motif de convenance personnelle qu’à permettre la vie commune des membres de la famille. À relever que la recourante a modifié sa requête en cours de procédure pour pouvoir vivre auprès de sa nièce, avant de revenir à sa requête initiale après avoir été informée par l’OCPM que les dispositions sur le regroupement familial ne s’appliquaient pas à une relation tante‑nièce.![endif]&gt;![if&gt; Le jugement entrepris doit partant également être confirmé en tant qu’il nie le droit de la recourante à une autorisation de séjour fondé sur l’art. 3 par. 1 annexe I ALCP.</w:t>
      </w:r>
    </w:p>
    <w:p>
      <w:r>
        <w:rPr>
          <w:b/>
        </w:rPr>
        <w:t>E. 4</w:t>
      </w:r>
    </w:p>
    <w:p>
      <w:r>
        <w:t>Enfin, la recourante demande à être mise au bénéfice d'une admission provisoire.![endif]&gt;![if&gt;</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4.2</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3).![endif]&gt;![if&gt;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4.3</w:t>
      </w:r>
    </w:p>
    <w:p>
      <w:r>
        <w:t>En l'espèce, la recourante fait principalement valoir que le système de santé suisse est de meilleure qualité que le celui existant au Cameroun. Or, conformément à la jurisprudence, ce constat n'est pas suffisant pour admettre que son renvoi ne serait pas exigible. Dans le jugement entrepris, le TAPI a relevé que l’hôpital central de Yaoundé disposait d’un service de physio-kinésithérapie qui se chargeait, entre autres, de la rééducation fonctionnelle dans le domaine orthopédique. Le CHU à Yaoundé disposait quant à lui d’un IRM. Il ressortait par ailleurs de la jurisprudence du TAF que les traitements contre l’hypertension – affection courante au Cameroun – étaient aisément disponibles dans ce pays et que des soins en neurologie et en cardiologie étaient également disponibles dans les hôpitaux de Yaoundé ou à Douala (arrêts du TAF E-3050/2014 du 1 er février 2018 consid. 7.8.2). Le dossier ne contient pas d'éléments probants à même de remettre en cause la possibilité de prise en charge médicale de la recourante, telle que mise en avant par l’instance précédente. Dès lors, dans la mesure où il existe des structures de soins suffisantes au Cameroun qui peuvent prendre en charge les soins nécessités par les troubles dont souffre la recourante, son renvoi ne l'expose pas à un risque réel d'être confronté à un déclin grave, rapide et irréversible de son état de santé entraînant une mise en danger concrète de sa vie ou une atteinte sérieuse de son intégrité physique.![endif]&gt;![if&gt; En conclusion, en l'absence d'éléments démontrant que le retour de la recourante au Cameroun la mettrait concrètement en danger compte tenu de sa situation médicale, il convient de retenir que l'exécution de son renvoi est raisonnablement exigible au sens de l’art. 83 LEI, de sorte que c’est à juste titre que le TAPI a considéré que l'OCPM n'avait pas à proposer son admission provisoire au SEM. Les considérants qui précèdent conduisent au rejet du recours.</w:t>
      </w:r>
    </w:p>
    <w:p>
      <w:r>
        <w:rPr>
          <w:b/>
        </w:rPr>
        <w:t>E. 5</w:t>
      </w:r>
    </w:p>
    <w:p>
      <w:r>
        <w:t>Vu l'issue du litige, un émolument de CHF 400.- sera mis à la charge de la recourante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