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A/4507/2016 vom 8. Februar 2017</w:t>
      </w:r>
    </w:p>
    <w:p>
      <w:r>
        <w:t>GE Cour de justice, 2017-02-08, FR</w:t>
      </w:r>
    </w:p>
    <w:p>
      <w:r>
        <w:rPr>
          <w:b/>
        </w:rPr>
        <w:t xml:space="preserve">Quelle: </w:t>
      </w:r>
      <w:r>
        <w:t>https://mcp.opencaselaw.ch/entscheid/ge_gerichte_A_4507_2016</w:t>
      </w:r>
    </w:p>
    <w:p>
      <w:r>
        <w:t>FR: GE_GERICHTE A/4507/2016 du 8 février 2017</w:t>
      </w:r>
    </w:p>
    <w:p>
      <w:r>
        <w:t>IT: GE_GERICHTE A/4507/2016 del 8 febbraio 2017</w:t>
      </w:r>
    </w:p>
    <w:p>
      <w:pPr>
        <w:pStyle w:val="Heading2"/>
      </w:pPr>
      <w:r>
        <w:t>Erwägungen</w:t>
      </w:r>
    </w:p>
    <w:p>
      <w:r>
        <w:rPr>
          <w:b/>
        </w:rPr>
        <w:t>E. 1</w:t>
      </w:r>
    </w:p>
    <w:p>
      <w:r>
        <w:t>Madame A______ a obtenu le brevet d’enseignement genevois en 1977.![endif]&gt;![if&gt; Par courrier du 18 juillet 1974, le directeur de l’enseignement primaire lui a confirmé son admission aux études pédagogiques. Par arrêté de confirmation du 2 mai 1979, Mme A______ a été confirmée dans ses fonctions d’institutrice dès le 1 er septembre 1978. Elle a été promue à la fonction d’inspectrice de l’enseignement primaire en février 2001. Elle a occupé ce poste jusqu’en août 2008. Elle a suivi diverses formations continues. Par arrêté du Conseil d’État du 16 avril 2008, elle a été promue en qualité de cadre supérieure de l’administration cantonale à la fonction de directeur d’établissement primaire à dater du 11 août 2008, avec une classe de traitement maximum 24. Son taux d’activité était de 100 %. Elle est directrice aujourd’hui de l’établissement B______.</w:t>
      </w:r>
    </w:p>
    <w:p>
      <w:r>
        <w:rPr>
          <w:b/>
        </w:rPr>
        <w:t>E. 2</w:t>
      </w:r>
    </w:p>
    <w:p>
      <w:r>
        <w:t>Mme A______ a été soumise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Mme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Mme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l’intéressée que son cahier des charges modifié prendrait effet au 1 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Mme A______ a interjeté recours devant la chambre administrative de la Cour de justice (ci-après : la chambre administrative).![endif]&gt;![if&gt; 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 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