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A/4506/2016 vom 8. Februar 2017</w:t>
      </w:r>
    </w:p>
    <w:p>
      <w:r>
        <w:t>GE Cour de justice, 2017-02-08, FR</w:t>
      </w:r>
    </w:p>
    <w:p>
      <w:r>
        <w:rPr>
          <w:b/>
        </w:rPr>
        <w:t xml:space="preserve">Quelle: </w:t>
      </w:r>
      <w:r>
        <w:t>https://mcp.opencaselaw.ch/entscheid/ge_gerichte_A_4506_2016</w:t>
      </w:r>
    </w:p>
    <w:p>
      <w:r>
        <w:t>FR: GE_GERICHTE A/4506/2016 du 8 février 2017</w:t>
      </w:r>
    </w:p>
    <w:p>
      <w:r>
        <w:t>IT: GE_GERICHTE A/4506/2016 del 8 febbraio 2017</w:t>
      </w:r>
    </w:p>
    <w:p>
      <w:pPr>
        <w:pStyle w:val="Heading2"/>
      </w:pPr>
      <w:r>
        <w:t>Erwägungen</w:t>
      </w:r>
    </w:p>
    <w:p>
      <w:r>
        <w:rPr>
          <w:b/>
        </w:rPr>
        <w:t>E. 1</w:t>
      </w:r>
    </w:p>
    <w:p>
      <w:r>
        <w:t>Madame A______ est titulaire depuis le mois de septembre 1976 du diplôme d’études universitaires générales (France), d’une licence en lettres (France) et a suivi la formation de suppléante dans l’enseignement primaire.![endif]&gt;![if&gt; Elle a exercé la fonction d’enseignante titulaire à Genève entre 1996 et 2008. Elle a obtenu le Certificate of Advanced Studies en administration et gestion d’institutions de formation.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Par courrier du 6 septembre 2010, elle a été confirmée dans cette fonction dès le 11 août 2010.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