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A/4498/2018 vom 15. Februar 2019</w:t>
      </w:r>
    </w:p>
    <w:p>
      <w:r>
        <w:t>GE Cour de justice, 2019-02-15, FR</w:t>
      </w:r>
    </w:p>
    <w:p>
      <w:r>
        <w:rPr>
          <w:b/>
        </w:rPr>
        <w:t xml:space="preserve">Quelle: </w:t>
      </w:r>
      <w:r>
        <w:t>https://mcp.opencaselaw.ch/entscheid/ge_gerichte_A_4498_2018</w:t>
      </w:r>
    </w:p>
    <w:p>
      <w:r>
        <w:t>FR: GE_GERICHTE A/4498/2018 du 15 février 2019</w:t>
      </w:r>
    </w:p>
    <w:p>
      <w:r>
        <w:t>IT: GE_GERICHTE A/4498/2018 del 15 febbraio 2019</w:t>
      </w:r>
    </w:p>
    <w:p>
      <w:pPr>
        <w:pStyle w:val="Heading2"/>
      </w:pPr>
      <w:r>
        <w:t>Erwägungen</w:t>
      </w:r>
    </w:p>
    <w:p>
      <w:r>
        <w:rPr>
          <w:b/>
        </w:rPr>
        <w:t>E. 4</w:t>
      </w:r>
    </w:p>
    <w:p>
      <w:r>
        <w:t>ème Chambre En la cause Madame A______, domiciliée àPRÉVESSIN-MOËNS, France, comparant avec élection de domicile en l'étude de Maître Jean-Michel DUC recourante contre ALLIANZ SUISSE SOCIÉTÉ D'ASSURANCES SA, sise Richtiplatz 1, WALLISELLEN, représentée par son service juridique, avenue du Bouchet 12, GENÈVE intimée EN FAIT 1.        Madame A______ (ci-après l’assurée ou la recourante), née le ______ 1990, a subi un accident le 14 juin 2016, alors qu'elle contrôlait le bon fonctionnement d'un ordinateur portable dans le cadre de son activité professionnelle.![endif]&gt;![if&gt; 2.        Cet accident a été annoncé par son employeur, l’Institut des hautes études internationales et du développement (ci-après l'IHEID), à Allianz Suisse Société d'Assurances SA (ci-après Allianz ou l'intimée), le 20 juin 2016.![endif]&gt;![if&gt; 3.        Sur demande d’Allianz, le Centre d’expertises médicales (ci-après CEMed) a procédé à une expertise pluridisciplinaire de l’assurée les 23 et 24 août 2017. À teneur du rapport d'expertise du 8 décembre 2017, l’assurée était sans formation professionnelle et travaillait, lors de l'atteinte à sa santé, en tant que gestionnaire au chez l'IHEID à 100% depuis novembre 2015. Le 14 juin 2016, elle avait été victime d’une électrisation du membre supérieur gauche en intervenant sur un ordinateur portable. Dans les suites immédiates et différées de cet événement, elle s’était plainte d’importantes brachialgies gauches, d’un œdème persistant du membre supérieur gauche, d’un manque de force du membre supérieur gauche, de troubles sensitifs hypo-dysesthésiques avec allodynie globaux de ce même membre. Avec le temps, la symptomatologie s’était étendue au thorax, à la face et au membre inférieur gauche. Sur le plan neurologique, était retenu comme diagnostic un status après électrocution du membre supérieur gauche surchargé d’éléments sans substrat somatique évident et sans relation de causalité certaine avec l’événement accidentel. Sur le plan psychique, les diagnostics de troubles de l’adaptation avec réaction mixte anxieuse et dépressive et probable syndrome douloureux somatoforme persistant étaient posés. L’état somatique pouvait être considéré comme en causalité uniquement possible avec l’événement accidentel, mais pas vraisemblable ou certaine. On devait en revanche admettre que l’apparition des troubles était vraisemblablement en relation de causalité certaine avec l’électrocution. Il n’y avait pas de rapport de causalité sur le plan psychique, vu le peu de sévérité de l’accident. ![endif]&gt;![if&gt; 4.        Le 7 février 2018, Allianz a informé l’assurée qu’il n’y avait pas de lien de causalité naturelle et adéquate entre ses plaintes actuelles et l’événement du 14 juin 2016. ![endif]&gt;![if&gt; 5.        Par décision du 12 mars 2018, Allianz a informé l'assurée qu'elle n'avait plus droit à ses prestations dès le 8 décembre 2017 et que la restitution des indemnités journalières versées jusqu'au 31 janvier 2018 ne lui était pas demandée. L'effet suspensif de l'opposition était retiré, au sens de l’art. 11 OPGA. ![endif]&gt;![if&gt; 6.        Par courrier du 24 avril 2018, la recourante a formé opposition contre la décision de l'intimée du 12 mars 2018 concluant à ce que cette décision soit réformée en ce sens qu'elle avait droit à de plus amples prestations d'assurances postérieurement au 8 décembre 2017, soit au versement des indemnités journalières à 100% et à la prise en charge des frais de traitement.![endif]&gt;![if&gt; 7.        Par décision sur opposition du 21 novembre 2018, Allianz a rejeté l’opposition de l’assurée et confirmé sa décision du 12 mars 2018. Elle informait la recourante qu’il lui était possible de recourir contre la décision sur opposition dans les trente jours dès réception.![endif]&gt;![if&gt; 8.        Le 20 décembre 2018, l’assurée a saisi la chambre des assurances sociales de la Cour de justice d’un recours et d’une requête de mesures provisionnelles tendant à ce que la chambre prononce la reprise du versement des indemnités journalières et des frais de traitement dans l’attente qu’une nouvelle expertise soit effectuée et que l’instruction du cas soit close. Elle faisait notamment valoir qu'elle était sans emploi ni ressources et dans une situation de précarité.![endif]&gt;![if&gt; 9.        Par réponse du 28 janvier 2019, Allianz a conclu à ce que la chambre des assurances sociales constate que l’effet suspensif avait été retiré et qu’elle en refuse la restitution. Il n’y avait pas lieu de restituer l’effet suspensif, car dans ses écritures du 15 août 2018, la recourante avait mis en exergue sa situation économique difficile. De plus, la position de l’intimée reposait sur un rapport d’expertise pluridisciplinaire. La recourante ne disposait pas de ressources suffisantes pour couvrir une éventuelle créance en restitution dans l’hypothèse où l’intimée serait amenée à demander la restitution du versement des prestations injustifiées. Le retrait de l’effet suspensif devait donc être confirmé et la requête de la recourante rejetée. ![endif]&gt;![if&gt; 10.    Sur ce, la cause a été gardée à juger sur mesures provisionnelles.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56 et 60 de la LPGA; art. 89B de la loi sur la procédure administrative du 12 septembre 1985 [LPA-GE - E 5 10]).![endif]&gt;![if&gt; 3.        Le litige porte sur le droit de la recourante à une mesure provisionnelle tendant à ce que la chambre ordonne la reprise de ses prestations dès le 8 décembre 2017 dans l'attente de l'issue du recours.![endif]&gt;![if&gt; 4.        Selon l’art. 82 LPA, dès le dépôt de la demande de révision, la juridiction saisie peut suspendre l’exécution de la décision attaquée et ordonner d’autres mesures provisionnelles, en exigeant au besoin des sûretés.![endif]&gt;![if&gt;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5.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Selon l'art. 55 PA, le recours a effet suspensif (al. 1). Sauf si la décision porte sur une prestation pécuniaire, l'autorité inférieure peut y prévoir qu'un recours éventuel n'aura pas d'effet suspensif; après le dépôt du recours, l'autorité de recours, son président ou le juge instructeur a la même compétence (al. 1). L'autorité de recours, son président ou le juge instructeur peut restituer l'effet suspensif à un recours auquel l'autorité inférieure l'avait retiré; la demande de restitution de l'effet suspensif est traitée sans délai (al. 3). L'art. 55 al. 3 PA prévoit que l'autorité de recours ou son président peut restituer l'effet suspensif à un recours auquel l'autorité inférieure l'avait retiré; la demande de restitution de l'effet suspensif est traitée sans délai.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Le retrait de l’effet suspensif à une décision vaut également pour la procédure subséquente, lorsque la décision est confirmée ou que l'instruction est reprise sur renvoi, tant que l’effet suspensif n’a pas été restitué. Partant, il n’est pas nécessaire que l’administration ou le juge retire à nouveau à la nouvelle décision ou au jugement l’effet suspensif à la voie de droit subséquente ( ATAS/1104/2018 du 29 novembre 2018). 6.        En l'espèce, la recourante n'a pas contesté dans son opposition à la décision du 12 mars 2018 le retrait de l'effet suspensif à l'opposition. Cette décision est par conséquent entrée en force sur ce point. Il est dès lors douteux que la recourante puisse, par le biais d'une demande de mesure provisionnelle, obtenir l'équivalent de la restitution de l'effet suspensif, alors qu'elle n'allègue pas de fait nouveau qui pourrait justifier un réexamen de cette question. Quoi qu'il en soit, dans la mesure où la requête de la recourante correspond à l’objet du litige, elle doit être rejetée. Pour le surplus, la décision querellée est basée sur une expertise pluridisciplinaire et n'apparaît pas d'emblée infondée. Dès lors, l'intérêt de la recourante à pouvoir bénéficier des prestations pendant la procédure ne l'emporte pas sur celui de l'intimée. En effet, il est à craindre que si cette dernière devait demander la restitution des prestations versées à tort à l'issue de la procédure, cette démarche s'avère infructueuse, au vu de la situation financière difficile de la recourante. Ce second motif, justifie également le rejet de la requête.![endif]&gt;![if&gt; 7.        La procédure est gratuite (art. 61 let. a LPGA).![endif]&gt;![if&gt;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