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A/4497/2016 vom 8. Februar 2017</w:t>
      </w:r>
    </w:p>
    <w:p>
      <w:r>
        <w:t>GE Cour de justice, 2017-02-08, FR</w:t>
      </w:r>
    </w:p>
    <w:p>
      <w:r>
        <w:rPr>
          <w:b/>
        </w:rPr>
        <w:t xml:space="preserve">Quelle: </w:t>
      </w:r>
      <w:r>
        <w:t>https://mcp.opencaselaw.ch/entscheid/ge_gerichte_A_4497_2016</w:t>
      </w:r>
    </w:p>
    <w:p>
      <w:r>
        <w:t>FR: GE_GERICHTE A/4497/2016 du 8 février 2017</w:t>
      </w:r>
    </w:p>
    <w:p>
      <w:r>
        <w:t>IT: GE_GERICHTE A/4497/2016 del 8 febbraio 2017</w:t>
      </w:r>
    </w:p>
    <w:p>
      <w:pPr>
        <w:pStyle w:val="Heading2"/>
      </w:pPr>
      <w:r>
        <w:t>Erwägungen</w:t>
      </w:r>
    </w:p>
    <w:p>
      <w:r>
        <w:rPr>
          <w:b/>
        </w:rPr>
        <w:t>E. 1</w:t>
      </w:r>
    </w:p>
    <w:p>
      <w:r>
        <w:t>Madame A______ a obtenu sa licence en sciences de l’éducation et a été titularisée dans ses fonctions d’institutrice dès le 1 er septembre 1990. Elle a été désignée à la fonction d’inspectrice de circonscription du mois d’octobre 2003 au mois d’août 2008.![endif]&gt;![if&gt;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a été confirmée dans cette fonction dès le 11 août 2009. Elle a effectué une formation complémentaire entre 2009 et 2011, soit un DEA en formation en direction d’institutions de formation. À la suite d’une reconfiguration de son établissement, elle a été affectée à compter de la rentrée scolaire 2014 à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