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A/4495/2016 vom 8. Februar 2017</w:t>
      </w:r>
    </w:p>
    <w:p>
      <w:r>
        <w:t>GE Cour de justice, 2017-02-08, FR</w:t>
      </w:r>
    </w:p>
    <w:p>
      <w:r>
        <w:rPr>
          <w:b/>
        </w:rPr>
        <w:t xml:space="preserve">Quelle: </w:t>
      </w:r>
      <w:r>
        <w:t>https://mcp.opencaselaw.ch/entscheid/ge_gerichte_A_4495_2016</w:t>
      </w:r>
    </w:p>
    <w:p>
      <w:r>
        <w:t>FR: GE_GERICHTE A/4495/2016 du 8 février 2017</w:t>
      </w:r>
    </w:p>
    <w:p>
      <w:r>
        <w:t>IT: GE_GERICHTE A/4495/2016 del 8 febbraio 2017</w:t>
      </w:r>
    </w:p>
    <w:p>
      <w:pPr>
        <w:pStyle w:val="Heading2"/>
      </w:pPr>
      <w:r>
        <w:t>Erwägungen</w:t>
      </w:r>
    </w:p>
    <w:p>
      <w:r>
        <w:rPr>
          <w:b/>
        </w:rPr>
        <w:t>E. 1</w:t>
      </w:r>
    </w:p>
    <w:p>
      <w:r>
        <w:t>Monsieur A______ est titulaire d’un brevet d’enseignement ainsi que d’une demi-licence en sciences de l’éducation depuis l’année 1985.![endif]&gt;![if&gt; Il a été nommé à la fonction d’instituteur dans la division moyenne dès le 1 er septembre 1986. Il a été employé par le département de l'instruction publique, de la culture et du sport (ci-après : le département) en qualité d’enseignant de septembre 1985 au mois de juillet 2004, puis en qualité de responsable du service des remplacements du mois d’août 2004 au mois d’octobre 2006, puis en qualité d’inspecteur de circonscription du mois de novembre 2006 au mois d’août 2008. 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