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A/4491/2011 vom 3. April 2012</w:t>
      </w:r>
    </w:p>
    <w:p>
      <w:r>
        <w:t>GE Cour de justice, 2012-04-03, FR</w:t>
      </w:r>
    </w:p>
    <w:p>
      <w:r>
        <w:rPr>
          <w:b/>
        </w:rPr>
        <w:t xml:space="preserve">Quelle: </w:t>
      </w:r>
      <w:r>
        <w:t>https://mcp.opencaselaw.ch/entscheid/ge_gerichte_A_4491_2011</w:t>
      </w:r>
    </w:p>
    <w:p>
      <w:r>
        <w:t>FR: GE_GERICHTE A/4491/2011 du 3 avril 2012</w:t>
      </w:r>
    </w:p>
    <w:p>
      <w:r>
        <w:t>IT: GE_GERICHTE A/4491/2011 del 3 aprile 2012</w:t>
      </w:r>
    </w:p>
    <w:p>
      <w:pPr>
        <w:pStyle w:val="Heading2"/>
      </w:pPr>
      <w:r>
        <w:t>Volltext</w:t>
      </w:r>
    </w:p>
    <w:p>
      <w:r>
        <w:t>Genève Cour de justice (Cour de droit public) Chambre des assurances sociales 03.04.2012 A/4491/2011</w:t>
      </w:r>
    </w:p>
    <w:p>
      <w:r>
        <w:t>A/4491/2011 ATAS/456/2012 du 03.04.2012 ( AI ) , ADMIS/RENVOI RÉPUBLIQUE ET CANTON DE GENÈVE POUVOIR JUDICIAIRE A/4491/2011 ATAS/456/2012 COUR DE JUSTICE Chambre des assurances sociales Arrêt du 3 avril 2012 1 ère Chambre En la cause Madame M__________, domiciliée à Genève recourante contre OFFICE DE L'ASSURANCE-INVALIDITE DU CANTON DE GENEVE, sis rue de Lyon 97, Genève intimé Attendu en fait que par décision du 1 er décembre 2011, l'OFFICE DE L'ASSURANCE-INVALIDITE DU CANTON DE GENEVE (ci-après OAI) a mis Madame M__________ au bénéfice d'un quart de rente d'invalidité à compter du 1 er décembre 2010 ; qu'il a considéré que l'activité habituelle de serveuse n'était plus exigible et que la capacité de travail dans une activité adaptée était de 50% ; que, procédant à la comparaison des revenus, il a ainsi obtenu un taux d'invalidité de 42% ; Que l'assurée a interjeté recours le 23 décembre 2011 contre ladite décision ; Que dans sa réponse du 1 er février 2012, l'OAI a constaté que le droit éventuel de la recourante à des mesures d'ordre professionnel n'avait pas été examiné, de sorte que c'est de manière prématurée qu'il avait statué sur le droit à une rente ; qu'il a alors proposé le renvoi du dossier ; Qu'invitée à se déterminer, l'assurée a déclaré qu'elle était d'accord avec la proposition de l'OAI, rappelant toutefois qu'elle n'avait pas obtenu satisfaction, puisqu'elle avait conclu à la reconnaissance d'un taux d'invalidité de 50%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en vertu des art. 56ss LPGA ; Qu'en l'espèce, l'OAI, constatant qu'il n'avait pas procédé à l'examen du droit éventuel de la recourante à des mesures d'ordre professionnel, a proposé le renvoi du dossier ; Qu'il y a lieu d'en prendre acte ; Qu'en effet, selon l'art. 28 al. 2 LAI en corrélation avec les art. 7 et 16 LPGA, la réadaptation a la priorité sur la rente dont l'octroi n'entre en ligne de compte que si une réadaptation suffisante est impossible ; que saisie d'une demande de rente ou appelée à se prononcer à l'occasion d'une révision de celle-ci, l'administration doit donc examiner d'office, avant toute chose, la question de la réintégration de l'assuré dans le circuit économique (ATF 108 V 210 , 99 V 48 ) ; Qu'il se justifie dès lors de renvoyer la cause à l'OAI pour instruction complémentaire, puis nouvelle décision sur le droit à la rente ; PAR CES MOTIFS, LA CHAMBRE DES ASSURANCES SOCIALES : Statuant A la forme : Déclare le recours recevable. Au fond : L'admet et annule la décision du 1 er décembre 2011. Renvoie la cause à l'OAI pour instruction complémentaire, puis nouvelle décision sur le droit à la rente.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