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A/4491/2009 vom 29. Oktober 2009</w:t>
      </w:r>
    </w:p>
    <w:p>
      <w:r>
        <w:t>GE Cour de justice, 2009-10-29, FR</w:t>
      </w:r>
    </w:p>
    <w:p>
      <w:r>
        <w:rPr>
          <w:b/>
        </w:rPr>
        <w:t xml:space="preserve">Quelle: </w:t>
      </w:r>
      <w:r>
        <w:t>https://mcp.opencaselaw.ch/entscheid/ge_gerichte_A_4491_2009</w:t>
      </w:r>
    </w:p>
    <w:p>
      <w:r>
        <w:t>FR: GE_GERICHTE A/4491/2009 du 29 octobre 2009</w:t>
      </w:r>
    </w:p>
    <w:p>
      <w:r>
        <w:t>IT: GE_GERICHTE A/4491/2009 del 29 ottobre 2009</w:t>
      </w:r>
    </w:p>
    <w:p>
      <w:pPr>
        <w:pStyle w:val="Heading2"/>
      </w:pPr>
      <w:r>
        <w:t>Volltext</w:t>
      </w:r>
    </w:p>
    <w:p>
      <w:r>
        <w:t>Genève Cour de justice (Cour de droit public) Chambre des assurances sociales 04.03.2010 A/4491/2009</w:t>
      </w:r>
    </w:p>
    <w:p>
      <w:r>
        <w:t>A/4491/2009 ATAS/218/2010 du 04.03.2010 ( LPP ) , PARTAGE LPP En fait En droit RÉPUBLIQUE ET CANTON DE GENÈVE POUVOIR JUDICIAIRE A/4491/2009 ATAS/218/2010 ARRET DU TRIBUNAL CANTONAL DES ASSURANCES SOCIALES Chambre 3 du 4 mars 2010 En la cause Monsieur C__________, domicilié à CAROUGE Madame C__________, domiciliée à CAROUGE demandeurs contre CAISSE PARITAIRE DE PRÉVOYANCE DE L'INDUSTRIE ET DE LA CONSTRUCTION (CPPIC), rue de Malatrex 14, 1201 GENEVE CAISSE DE PRÉVOYANCE DU PERSONNEL DES ÉTABLISSEMENTS PUBLICS MÉDICAUX DU CANTON DE GENÈVE (CEH), 14 rue des Noirettes, case postale 1155, 1211 GENEVE 26 défenderesses EN FAIT Par jugement du 29 octobre 2009, la 16 ème chambre du Tribunal de première instance a prononcé le divorce de Madame C__________, née D__________ en 1967, et Monsieur C__________, né en 1965, lesquels s’étaient mariés en date du 11 septembre 1989. Au chiffre 9 du jugement précité, le Tribunal de première instance a ordonné le partage par moitié des avoirs de prévoyance professionnelle acquis par chacun des époux durant le mariage. Le jugement de divorce, devenu définitif le 1 er décembre 2009, a été transmis d'office au Tribunal de céans le 14 décembre 2009 pour exécution du partage. Le Tribunal de céans a demandé aux parties de lui indiquer le(s) nom(s) de leur(s) institution(s) de prévoyance, puis aux dites institutions de lui communiquer les montants des avoirs LPP acquis par les intéressés durant le mariage, soit entre le 11 septembre 1989 et le 1 er décembre 2009. S'agissant du demandeur - dont il convient de relever qu'il n'avait pas encore atteint l'âge de 25 ans au moment du mariage -, il est apparu que depuis le 1er novembre 2002, il est affilié à la CAISSE PARITAIRE DE PRÉVOYANCE DE L'INDUSTRIE ET DE LA CONSTRUCTION (CPPIC), laquelle a repris la CAISSE DE PRÉVOYANCE DE L’ENTREPRISE X__________ &amp; Cie auprès de laquelle le demandeur cotisait depuis le mois de juin 1988 (cf. courrier du 23 décembre 2009), soit précédemment à son mariage; que le montant de l’avoir accumulé s’élevait, en date du 1er décembre 2009, à 113'420 fr. 35. Quant à la demanderesse - dont il convient de relever qu'elle n'avait pas non plus atteint l'âge de 25 ans au moment du mariage -, il s'est avéré, après consultation du rassemblement de ses comptes individuels : - qu'elle a travaillé en tant qu’ouvrière saisonnière puis qualifiée pour Y__________ SA de 1998 à 1998 ; qu’elle a alors été affiliée au FONDS DE PRÉVOYANCE D’ADECCO, qui a ensuite transmis son avoir à sa caisse actuelle (cf. courrier de la CEH du 26 janvier 2010) ; - qu’elle a bénéficié d’une rente entière de l’assurance-invalidité du 1 er mai 1999 au 30 juin 2007; - qu'elle est employée depuis 2009 par les Hôpitaux Universitaires de Genève (HUG) et affiliée à la CAISSE DE PRÉVOYANCE DU PERSONNEL DES ÉTABLISSEMENTS PUBLICS MÉDICAUX DU CANTON DE GENÈVE (CEH) ; que son avoir s’élevait, en date du 1 er décembre 2009, à 4'820 fr. 05 (cf. courrier de la CEH du 26 janvier 2010). Ces documents ont été transmis aux parties, auxquelles il a été précisé qu'à défaut d'observations de leur part dans le délai imparti,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 er janvier au 31 décembre 2003, de 2,25% du 1 er janvier au 31 décembre 2004, de 2,5% du 1er janvier 2005 au 31 décembre 2007 et de 2,75% à compter du 1er janvier 2008. En l’espèce, le juge de première instance a ordonné le partage par moitié des prestations de sortie acquises durant le mariage par les demandeurs. Les dates pertinentes sont, d’une part, le 11 septembre 1989, date du mariage, d’autre part le 1 er décembre 2009, date à laquelle le jugement de divorce est devenu exécutoire. Cependant, la demanderesse ayant été bénéficiaire de prestations de l’assurance-invalidité, la question se pose de savoir si le partage ordonné peut être exécuté. Le partage des prestations de sortie est une institution ressortissant au droit du divorce (GEISER, zur Frage des Massgeblichen Zeitpunkts beim Vorsorgeausgleich, FamPRa 2004, p. 305). Dès lors, le moment déterminant pour son exécution est celui de l'entrée en force du jugement de divorce - ou tout au moins des points permettant son exécution. Si un cas de prévoyance survient avant cette date, l'application de l'art. 122 CC est exclue au profit de l'art. 124 CC. Inversement, si un cas de prévoyance survient après cette date, la question demeure régie par le seul art. 122 CC (cf. GEISER, op. cit., p. 307-308). Pour le même motif, la survenance d'un cas de prévoyance alors que la procédure est pendante auprès du juge des assurances, reste sans influence sur l'application de l'art. 122 CC, qui continue à s'appliquer. L'application de l'art. 122 al. 1 CC présuppose donc que l'époux dispose d'un droit à une prestation de sortie à l'encontre de son institution de prévoyance (cf. ATF 128 V 41 consid. 3b p. 48; 127 III 433 consid. 2b p. 437 et les références). Savoir si un époux dispose d’un tel droit est une question relative au rapport de prévoyance et qui relève de la compétence matérielle du juge des assurances sociales; toutefois, le juge du divorce, qui doit régler le sort de la prévoyance professionnelle des époux, doit examiner la question à titre préjudiciel (ATF 128 V 41 consid. 1, 2c in fine, 3b et les références.). Selon le TFA, est seule décisive la naissance d’un droit concret à des prestations de la prévoyance professionnelle, qui rend impossible le partage des avoirs de prévoyance à la base des prestations servies. En effet, aux termes de l'art. 2 al. 1 LFLP, si l'assuré quitte l'institution de prévoyance avant la survenance d'un cas de prévoyance, il a droit à une prestation de sortie. La survenance du cas de prévoyance est donc le critère décisif pour juger de l'existence du droit à une prestation de sortie de l'assuré à l'égard de sa caisse. Les art. 122 al. 1 et 124 al. 1 CC reprennent ce critère. Ainsi, tant qu'aucun cas de prévoyance n'est survenu, le droit à la prestation de sortie existe; dès qu'il s'est produit, il n'y a plus de droit à une prestation de sortie, de sorte que le partage n’est techniquement plus possible. En ce cas, seule une indemnité équitable peut alors être fixée par le juge civil (ATF 129 V 444 consid. 5.1; Thomas GEISER, Le nouveau droit du divorce et les droits en matière de prévoyance professionnelle, in De l’ancien au nouveau droit du divorce, 1999, p. 79). Cette solution est retenue par la doctrine quasi unanime (GEISER, Vorsorgeausgleich : Aufteilung bei Vorbezug für Wohneigentumserwerb und nach Eintreten eines Vorsorgefalls, FamPra 2002 p. 86 et Berufliche Vorsorge im neuen Scheidungsrecht, in : Vom alten zum neuen Scheidungsrecht, n. 2.97; BAUMANN/LAUTERBURG, Praxiskommentar, Scheidungsrecht 2000, n. 18 et 20 ad art. 122 CC; WALSER, Commentaire bâlois, n. 4 ad art. 124 CC; TRIGO TRINDAD, Prévoyance professsionnelle, divorce et succession, SJ 2000 II p. 493; KIESER, Eheschidung und Eintritt deds Vorsorgefalles der beruflichen Vorsorge – Hinweise für die Praxis, PJA 2001 p. 155, 156; GRUTTER/SUMMERMATTER, Erstinstanzliche Erfahrungen mit dem Vorsorgeausgleich bei Scheidung, insbesondere nach art. 124 ZGB, FamPra 2002 p. 641, 647; SUTTER/ FREIBURGHAUS, Kommentar zum neuen Schdidungsrecht, n. 3 ad art. 124 CC.). En l’espèce, la demanderesse a certes été mise au bénéfice d'une rente de l'assurance-invalidité, mais seulement pour une période limitée. Qui plus est, elle n’a pas bénéficié d’une rente d'invalidité de la prévoyance professionnelle. En conséquence, le partage des avoirs de prévoyance tel que l’a décidé le juge civil reste techniquement possible. Selon les documents produits, la prestation acquise pendant le mariage par le demandeur s'élève à 113'420 fr. 35 tandis que celle acquise par la demanderesse atteint la somme de 4'820 fr. 05, les intérêts ayant déjà été calculés par les institutions de prévoyance défenderesses. Ainsi le demandeur doit à son ex-épouse le montant de 56'710 fr. 20 (113'420.35 : 2) alors qu'elle lui doit celui de 2'410 fr. 05 (4'820.05 : 2), de sorte que c’est en définitive le demandeur qui doit à son ex-épouse le montant de 54'300 fr. 15 (56'710.20 - 2'410.05).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PAR CES MOTIFS, LE TRIBUNAL CANTONAL DES ASSURANCES SOCIALES : Invite la CAISSE PARITAIRE DE PRÉVOYANCE DE L'INDUSTRIE ET DE LA CONSTRUCTION (CPPIC) à transférer, du compte de Monsieur C__________, la somme de 54'300 fr. 15 à la CAISSE DE PRÉVOYANCE DU PERSONNEL DES ÉTABLISSEMENTS PUBLICS MÉDICAUX DU CANTON DE GENÈVE (CEH), en faveur de Madame D__________ C__________, née D__________, ainsi que des intérêts compensatoires au sens des considérants, dès le 2 décembre 2009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