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A/4470/2016 vom 8. Februar 2017</w:t>
      </w:r>
    </w:p>
    <w:p>
      <w:r>
        <w:t>GE Cour de justice, 2017-02-08, FR</w:t>
      </w:r>
    </w:p>
    <w:p>
      <w:r>
        <w:rPr>
          <w:b/>
        </w:rPr>
        <w:t xml:space="preserve">Quelle: </w:t>
      </w:r>
      <w:r>
        <w:t>https://mcp.opencaselaw.ch/entscheid/ge_gerichte_A_4470_2016</w:t>
      </w:r>
    </w:p>
    <w:p>
      <w:r>
        <w:t>FR: GE_GERICHTE A/4470/2016 du 8 février 2017</w:t>
      </w:r>
    </w:p>
    <w:p>
      <w:r>
        <w:t>IT: GE_GERICHTE A/4470/2016 del 8 febbraio 2017</w:t>
      </w:r>
    </w:p>
    <w:p>
      <w:pPr>
        <w:pStyle w:val="Heading2"/>
      </w:pPr>
      <w:r>
        <w:t>Erwägungen</w:t>
      </w:r>
    </w:p>
    <w:p>
      <w:r>
        <w:rPr>
          <w:b/>
        </w:rPr>
        <w:t>E. 1</w:t>
      </w:r>
    </w:p>
    <w:p>
      <w:r>
        <w:t>Monsieur A______ est titulaire d’un brevet d’aptitude à l’enseignement primaire depuis l’année 1992 et a été nommé à la fonction d’instituteur par le Conseil d’État dès le 1 er septembre 1993.![endif]&gt;![if&gt; Il a occupé la fonction de titulaire de classe entre les années 1992 et 2004, celle de maître principal du mois d’août 1993 au mois de juin 2001, puis de responsable d’école entre les années 2002 et 2008, selon ses allégations, 2009 selon le département de l'instruction publique, de la culture et du sport (ci-après : le département). Il a été maître adjoint pendant l’année scolaire 2008-2009. M. A______ a obtenu un Certificate of Advanced of Studies en administration et gestion d’institution de formation en février 2009, selon ses allégations, après le 1 er juillet 2010, date de son inscription, selon le département. M. A______ a été promu en qualité de cadre supérieur de l’administration cantonale à la fonction de directeur d’établissement primaire à dater du 17 août 2009,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