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A/4470/2007 vom 16. Oktober 2007</w:t>
      </w:r>
    </w:p>
    <w:p>
      <w:r>
        <w:t>GE Cour de justice, 2007-10-16, FR</w:t>
      </w:r>
    </w:p>
    <w:p>
      <w:r>
        <w:rPr>
          <w:b/>
        </w:rPr>
        <w:t xml:space="preserve">Quelle: </w:t>
      </w:r>
      <w:r>
        <w:t>https://mcp.opencaselaw.ch/entscheid/ge_gerichte_A_4470_2007</w:t>
      </w:r>
    </w:p>
    <w:p>
      <w:r>
        <w:t>FR: GE_GERICHTE A/4470/2007 du 16 octobre 2007</w:t>
      </w:r>
    </w:p>
    <w:p>
      <w:r>
        <w:t>IT: GE_GERICHTE A/4470/2007 del 16 ottobre 2007</w:t>
      </w:r>
    </w:p>
    <w:p>
      <w:pPr>
        <w:pStyle w:val="Heading2"/>
      </w:pPr>
      <w:r>
        <w:t>Erwägungen</w:t>
      </w:r>
    </w:p>
    <w:p>
      <w:r>
        <w:rPr>
          <w:b/>
        </w:rPr>
        <w:t>E. 1</w:t>
      </w:r>
    </w:p>
    <w:p>
      <w:r>
        <w:t>Par décision du 16 octobre 2007, le doyen de la faculté des sciences économiques et sociales (ci-après : la faculté) de l’Université de Genève (ci-après : l’université) a confirmé l’élimination de Madame V______ de la faculté. Dite décision était déclarée applicable nonobstant recours.</w:t>
      </w:r>
    </w:p>
    <w:p>
      <w:r>
        <w:rPr>
          <w:b/>
        </w:rPr>
        <w:t>E. 2</w:t>
      </w:r>
    </w:p>
    <w:p>
      <w:r>
        <w:t>MadameV______ a saisi la commission de recours de l’université (ci-après : CRUNI) d’un recours dirigé contre la décision précitée par acte du 16 novembre 2007. Elle conclut préalablement à la restitution de l’effet suspensif au recours, à ce qu’une audience de comparution personnelle soit ordonnée et sur le fond, à l’annulation de la décision querellée.</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la recourante se confondent avec celles qu’elle prend sur le fond. Or, elle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Vu la nature du litige, aucun émolument ne sera mis à la charge de la recourante (art. 33 RIOR).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