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A/4453/2016 vom 8. Februar 2017</w:t>
      </w:r>
    </w:p>
    <w:p>
      <w:r>
        <w:t>GE Cour de justice, 2017-02-08, FR</w:t>
      </w:r>
    </w:p>
    <w:p>
      <w:r>
        <w:rPr>
          <w:b/>
        </w:rPr>
        <w:t xml:space="preserve">Quelle: </w:t>
      </w:r>
      <w:r>
        <w:t>https://mcp.opencaselaw.ch/entscheid/ge_gerichte_A_4453_2016</w:t>
      </w:r>
    </w:p>
    <w:p>
      <w:r>
        <w:t>FR: GE_GERICHTE A/4453/2016 du 8 février 2017</w:t>
      </w:r>
    </w:p>
    <w:p>
      <w:r>
        <w:t>IT: GE_GERICHTE A/4453/2016 del 8 febbraio 2017</w:t>
      </w:r>
    </w:p>
    <w:p>
      <w:pPr>
        <w:pStyle w:val="Heading2"/>
      </w:pPr>
      <w:r>
        <w:t>Erwägungen</w:t>
      </w:r>
    </w:p>
    <w:p>
      <w:r>
        <w:rPr>
          <w:b/>
        </w:rPr>
        <w:t>E. 1</w:t>
      </w:r>
    </w:p>
    <w:p>
      <w:r>
        <w:t>Madame A______ est titulaire d’une licence en sciences de l’éducation depuis 1988 ainsi que d’un brevet d’aptitude à l’enseignement primaire depuis 1990. ![endif]&gt;![if&gt; Elle a été nommée par le Conseil d’État à la fonction d’institutrice dès le 1 er septembre 1991 et a exercé la fonction d’enseignante du 1 er septembre 1990 au 1 er mai 2011, date à partir de laquelle elle a effectué un remplacement en qualité de directrice d’établissement primaire. Elle a repris l’enseignement de juillet 2012 à décembre 2012. Mme A______ a été promue en qualité de cadre supérieure de l’administration cantonale à la fonction de directrice d’établissement primaire à dater du 1 er janvier 2013 avec une classe de traitement maximum 24. Son taux d’activité était de 80 %. Elle est aujourd’hui directrice de l’établissement B______.</w:t>
      </w:r>
    </w:p>
    <w:p>
      <w:r>
        <w:rPr>
          <w:b/>
        </w:rPr>
        <w:t>E. 2</w:t>
      </w:r>
    </w:p>
    <w:p>
      <w:r>
        <w:t>Mme A______ a été soumise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Mme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Mme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Mme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Mme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l’intéressée que son cahier des charges modifié prendrait effet au 1 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Mme A______ a interjeté recours devant la chambre administrative de la Cour de justice (ci-après : la chambre administrative).![endif]&gt;![if&gt; 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 Elle faisait grief au département d’avoir violé son droit d’être entendue, y compris son droit à avoir accès à son dossier. L’art. 59 LIP était inconstitutionnel. Les principes de la liberté syndicale, de la bonne foi, de l’égalité de traitement avaient été violés. Enfin, la modification du cahier des charges était illégale. Elle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