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A/4441/2006 vom 30. Oktober 2007</w:t>
      </w:r>
    </w:p>
    <w:p>
      <w:r>
        <w:t>GE Cour de justice, 2007-10-30, FR</w:t>
      </w:r>
    </w:p>
    <w:p>
      <w:r>
        <w:rPr>
          <w:b/>
        </w:rPr>
        <w:t xml:space="preserve">Quelle: </w:t>
      </w:r>
      <w:r>
        <w:t>https://mcp.opencaselaw.ch/entscheid/ge_gerichte_A_4441_2006</w:t>
      </w:r>
    </w:p>
    <w:p>
      <w:r>
        <w:t>FR: GE_GERICHTE A/4441/2006 du 30 octobre 2007</w:t>
      </w:r>
    </w:p>
    <w:p>
      <w:r>
        <w:t>IT: GE_GERICHTE A/4441/2006 del 30 ottobre 2007</w:t>
      </w:r>
    </w:p>
    <w:p>
      <w:pPr>
        <w:pStyle w:val="Heading2"/>
      </w:pPr>
      <w:r>
        <w:t>Erwägungen</w:t>
      </w:r>
    </w:p>
    <w:p>
      <w:r>
        <w:rPr>
          <w:b/>
        </w:rPr>
        <w:t>E. 2</w:t>
      </w:r>
    </w:p>
    <w:p>
      <w:r>
        <w:t>était fondé sur un loyer fictif de CHF 6’000.- la pièce par an. La surface moyenne des pièces n’avait rien d’exceptionnelle. Ce montant se situait très largement au-dessus de ceux correspondant aux besoins prépondérants de la population. d. En l’espèce, le département et la CCRC ont retenu qu’il y avait, dans les combles avant travaux, trois pièces et demie vacantes, comptées à CHF 3’225.- la pièce par année et un appartement de trois pièces, dont le loyer a été compté à CHF 12’720.-, en englobant par erreur les charges de l’appartement, soit CHF 1’200.- par année. Il ressort cependant des faits de la présente cause que les calculs figurant dans la note technique du "préavis juridique - LDTR" et le plan financier présenté par les intimés comportent deux erreurs : - cette note tient compte, dans le "loyer pièces existantes loyer connu" des charges que M. Godel versait à son bailleur ; - d’autre part, ce préavis retient 3 pièces et demie dans la rubrique "loyer pièces existantes vacantes comptées à 3 225.-", et 3 pièces et demie nouvellement crées. En réalité, il y a quatre chambres de bonnes vacantes, ce qui a pour conséquence que 3 pièces seulement sont créées. En rectifiant ces erreurs, le calcul du loyer après travaux aurait dû se présenter de la manière suivante : pièces loyer total Loyer pièces nouvelles à CHF 6’909.-</w:t>
      </w:r>
    </w:p>
    <w:p>
      <w:r>
        <w:rPr>
          <w:b/>
        </w:rPr>
        <w:t>E. 3</w:t>
      </w:r>
    </w:p>
    <w:p>
      <w:r>
        <w:t>CHF 11'520.- Loyer pièces existantes vacantes comptées à CHF 3’225.-</w:t>
      </w:r>
    </w:p>
    <w:p>
      <w:r>
        <w:rPr>
          <w:b/>
        </w:rPr>
        <w:t>E. 4</w:t>
      </w:r>
    </w:p>
    <w:p>
      <w:r>
        <w:t>CHF 12'900.- Loyer global 10 CHF 45'147.- Loyer moyen / pièce CHF 4'515.- Après travaux, les combles de l’immeuble seront occupées par dix pièces. Au sujet de la surface des pièces, l’appartement des époux Godel comprend 115 m 2 , alors que la surface totale des logements après travaux serait de 300 m 2 , ce qui correspond à une surface moyenne par pièces similaire. De plus, comme l’ont relevé les époux Godel au cours de la procédure, leur appartement n’est pas en très bon état, alors que les logements à créer seront neuf. En procédant à une appréciation globale de la situation, voulue par le législateur, après rectification des erreurs de calculs mentionnées ci-dessus, le loyer obtenu apparaît conforme aux exigences de la LDTR. De plus, l’opération permet un gain appréciable de surface habitable et présente par là un intérêt public certain.</w:t>
      </w:r>
    </w:p>
    <w:p>
      <w:r>
        <w:rPr>
          <w:b/>
        </w:rPr>
        <w:t>E. 5</w:t>
      </w:r>
    </w:p>
    <w:p>
      <w:r>
        <w:t>Au vu de ce qui précède, le recours sera partiellement admis, la condition n° 7 de l’autorisation de construire étant modifiée conformément au calcul figurant ci-dessus. Au vu de cette issue, un émolument de procédure, en CHF 1’000.- sera mis à la charge des recourants, pris conjointement et solidairement (art. 87 LPA). Le recours n’est en effet que très partiellement admis et pour un motif qu’ils n’avaient soulevé qu'indirectement. Aucune indemnité ne sera allouée aux intimés, qui concluent uniquement à ce que les recourants soient condamnés aux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