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A/4438/2005 vom 31. Oktober 2006</w:t>
      </w:r>
    </w:p>
    <w:p>
      <w:r>
        <w:t>GE Cour de justice, 2006-10-31, FR</w:t>
      </w:r>
    </w:p>
    <w:p>
      <w:r>
        <w:rPr>
          <w:b/>
        </w:rPr>
        <w:t xml:space="preserve">Quelle: </w:t>
      </w:r>
      <w:r>
        <w:t>https://mcp.opencaselaw.ch/entscheid/ge_gerichte_A_4438_2005</w:t>
      </w:r>
    </w:p>
    <w:p>
      <w:r>
        <w:t>FR: GE_GERICHTE A/4438/2005 du 31 octobre 2006</w:t>
      </w:r>
    </w:p>
    <w:p>
      <w:r>
        <w:t>IT: GE_GERICHTE A/4438/2005 del 31 ottobre 2006</w:t>
      </w:r>
    </w:p>
    <w:p>
      <w:pPr>
        <w:pStyle w:val="Heading2"/>
      </w:pPr>
      <w:r>
        <w:t>Regeste</w:t>
      </w:r>
    </w:p>
    <w:p>
      <w:r>
        <w:t>INDICE D'UTILISATION; ORDRE CONTIGU; FRACTIONNEMENT; AUGMENTATION(EN GÉNÉRAL); AMÉNAGEMENT DU TERRITOIRE; SURFACE; PRINCIPE DE LA BONNE FOI; SOUS-SOL; SERVITUDE; INSCRIPTION; REGISTRE FONCIER | Construction de trois villas contiguës sur une parcelle morcellée par la suite en 4 parcelles distinctes. Rien n'empêche le propriétaire d'une parcelle d'acquérir une parcelle contiguë pour pouvoir augmenter la surface constructible de sa propriété, soit de convenir avec un propriétaire voisin qu'il mette à sa disposition pour le calcul de la surface constructible une surface de territoire qui n'a pas déjà servi à un tel calcul. Au vu de ce qui précède, l'augmentation des droits à bâtir sur la parcelle des recourants n'est envisageable qu'avec l'accord de tous les propriétaires des parcelles résultant du morcellement, dans la mesure où cette augmentation affecte également leurs droits. | LCI.3.al6 ; LCI.59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Entièrement mal fondé, le recours sera rejeté. Un émolument de CHF 1’000.- sera mis à la charge des recourants, pris conjointement et solidairement. Une indemnité du même montant sera allouée aux intimés, à la charge conjointe et solidaire, des recourants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