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A/4435/2022 vom 31. Oktober 2023</w:t>
      </w:r>
    </w:p>
    <w:p>
      <w:r>
        <w:t>GE Cour de justice, 2023-10-31, FR</w:t>
      </w:r>
    </w:p>
    <w:p>
      <w:r>
        <w:rPr>
          <w:b/>
        </w:rPr>
        <w:t xml:space="preserve">Quelle: </w:t>
      </w:r>
      <w:r>
        <w:t>https://mcp.opencaselaw.ch/entscheid/ge_gerichte_A_4435_2022</w:t>
      </w:r>
    </w:p>
    <w:p>
      <w:r>
        <w:t>FR: GE_GERICHTE A/4435/2022 du 31 octobre 2023</w:t>
      </w:r>
    </w:p>
    <w:p>
      <w:r>
        <w:t>IT: GE_GERICHTE A/4435/2022 del 31 ottobre 2023</w:t>
      </w:r>
    </w:p>
    <w:p>
      <w:pPr>
        <w:pStyle w:val="Heading2"/>
      </w:pPr>
      <w:r>
        <w:t>Erwägungen</w:t>
      </w:r>
    </w:p>
    <w:p>
      <w:r>
        <w:rPr>
          <w:b/>
        </w:rPr>
        <w:t>E. 4</w:t>
      </w:r>
    </w:p>
    <w:p>
      <w:r>
        <w:t>Se pose la question de la prescription.![endif]&gt;![if&gt;</w:t>
      </w:r>
    </w:p>
    <w:p>
      <w:r>
        <w:rPr>
          <w:b/>
        </w:rPr>
        <w:t>E. 4.1</w:t>
      </w:r>
    </w:p>
    <w:p>
      <w:r>
        <w:t>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En revanche, en ce qui concerne la poursuite pénale pour soustraction fiscale (consommée ou tentée), le nouveau droit, entré en vigueur le 1 er janvier 2017 (RO 2015 779 ; FF 2012 2649), s'applique au jugement des infractions commises au cours de périodes fiscales précédant son entrée en vigueur s'il est plus favorable que le droit en vigueur au cours de ces périodes fiscales (principe de la lex mitior ;  art. 205f de la loi fédérale sur l’impôt fédéral direct du 14 décembre 1990 [LIFD - RS 642.11] et 78f de la loi fédérale sur l’harmonisation des impôts directs des cantons et des communes du 14 décembre 1990 [LHID - RS 642.14 ]).  ![endif]&gt;![if&gt;</w:t>
      </w:r>
    </w:p>
    <w:p>
      <w:r>
        <w:rPr>
          <w:b/>
        </w:rPr>
        <w:t>E. 4.1.1</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cf. ATF 140 I 68 consid. 6.1). Les art. 61 al. 1 et 3 de la loi de procédure fiscale du 4 octobre 2001 (LPFisc - D 3 17) et 53 al. 2 et 3 LHID posent les mêmes principes. La problématique peut donc être examinée conjointement pour l'IFD et les ICC. ![endif]&gt;![if&gt;</w:t>
      </w:r>
    </w:p>
    <w:p>
      <w:r>
        <w:rPr>
          <w:b/>
        </w:rPr>
        <w:t>E. 4.1.2</w:t>
      </w:r>
    </w:p>
    <w:p>
      <w:r>
        <w:t>Avant le 1 er janvier 2017, la poursuite pénale de soustraction d'impôt consommée se prescrivait par dix ans à compter de la fin de la période fiscale pour laquelle la taxation n’a pas été effectuée ou l’a été de façon incomplète (art. 184 al. 1 let. b aLIFD). La prescription était en outre interrompue par tout acte de procédure tendant à la poursuite du contribuable (art. 184 al. 2 aLIFD). Depuis le 1 er janvier 2017, le délai de prescription est de dix ans et il ne court plus si une décision a été rendue par l'autorité cantonale compétente avant l'échéance dudit délai (art. 184 al. 1 let. b et al. 2 LIFD). L'art. 58 al. 1 et 3 LHID, en vigueur depuis le 1 er janvier 2017, a un contenu identique à celui de l'art. 184 LIFD. Il a été repris en droit cantonal à l’art. 77 LPFisc, selon lequel la poursuite pénale pour soustraction d’impôt consommée se prescrit donc par dix ans à compter de la fin de la période fiscale pour laquelle la taxation n’a pas été effectuée ou l’a été de façon incomplète (art. 77 al. 1 let. b LPFisc). La prescription ne court plus si une décision a été rendue par l’autorité compétente (art. 75) avant l’échéance du délai de prescription (art. 77 al. 2 LPFisc).![endif]&gt;![if&gt;</w:t>
      </w:r>
    </w:p>
    <w:p>
      <w:r>
        <w:rPr>
          <w:b/>
        </w:rPr>
        <w:t>E. 4.2</w:t>
      </w:r>
    </w:p>
    <w:p>
      <w:r>
        <w:t>En l’occurrence, un avis d’ouverture de la procédure de rappel d’impôt a été notifié au recourant le 7 juillet 2017 pour l’IFD et les ICC des périodes fiscales 2007 à 2012. Le délai de prescription de dix ans des art. 152 al. 1 LIFD, 53 al. 2 LHID et 61 al. 1 LPFisc a ainsi été respecté. S’agissant du délai de quinze ans, la péremption du droit de procéder aux rappels d’impôts pour l’année 2007 est survenue à la fin de la période fiscale 2022. S’agissant des périodes 2008 à 2012, le délai de péremption de quinze ans n’est pas encore atteint.![endif]&gt;![if&gt; En ce qui concerne la soustraction d’impôts, l’autorité fiscale a rendu le 26 janvier 2022 un bordereau d’amende IFD et ICC pour l’année 2012, soit moins de dix ans avant la fin de cette année fiscale.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Il en va de même en application de l'ancien droit, qui prévoyait un délai absolu de quinze ans à compter de la fin de la période fiscale pour laquelle la taxation n'avait pas été effectuée.</w:t>
      </w:r>
    </w:p>
    <w:p>
      <w:r>
        <w:rPr>
          <w:b/>
        </w:rPr>
        <w:t>E. 5</w:t>
      </w:r>
    </w:p>
    <w:p>
      <w:r>
        <w:t>Le recourant conteste que les montants crédités sur ses comptes bancaires et postaux, qui ont été repris par l’autorité intimée, constituent des éléments de son revenu imposable.![endif]&gt;![if&gt;</w:t>
      </w:r>
    </w:p>
    <w:p>
      <w:r>
        <w:rPr>
          <w:b/>
        </w:rPr>
        <w:t>E. 5.1</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 et les références).![endif]&gt;![if&gt; L'art. 18 al. 1 LIFD dispose en particulier que sont imposables tous les revenus provenant de l'exploitation d'une entreprise commerciale, industrielle, artisanale, agricole ou sylvicole, de l'exercice d'une profession libérale ou de toute autre activité lucrative indépendante. Constituent notamment de tels revenus, tous les bénéfices en capital provenant de l'aliénation, de la réalisation ou de la réévaluation comptable d'éléments de la fortune commerciale (art. 18 al. 2 LIFD). L’art. 58 s’applique par analogie aux contribuables qui tiennent une comptabilité en bonne et due forme (al. 3).</w:t>
      </w:r>
    </w:p>
    <w:p>
      <w:r>
        <w:rPr>
          <w:b/>
        </w:rPr>
        <w:t>E. 5.2</w:t>
      </w:r>
    </w:p>
    <w:p>
      <w:r>
        <w:t>Selon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Le recours à des coefficients expérimentaux, la prise en compte de l’évolution de fortune et le train de vie du contribuable ne sont pas limités à la procédure de taxation d’office ; ces moyens sont également ouverts à l’autorité dans le cadre d’une taxation ordinaire (Isabelle ALTHAUS-HOURIET, in Yves NOËL/Florence AUBRY GIRARDIN, Commentaire de la loi sur l’impôt fédéral direct, 2 e éd., Bâle 2017, n. 27 ad art. 130 LIFD). ![endif]&gt;![if&gt;</w:t>
      </w:r>
    </w:p>
    <w:p>
      <w:r>
        <w:rPr>
          <w:b/>
        </w:rPr>
        <w:t>E. 5.3</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du 6 novembre 2018 consid. 3a).![endif]&gt;![if&gt;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ATA/119/2019 du 5 février 2019 consid. 8 ; ATA/558/2014 du 17 juillet 2014).</w:t>
      </w:r>
    </w:p>
    <w:p>
      <w:r>
        <w:rPr>
          <w:b/>
        </w:rPr>
        <w:t>E. 5.4</w:t>
      </w:r>
    </w:p>
    <w:p>
      <w:r>
        <w:t>En l’espèce, pour calculer le revenu imposable des périodes fiscales 2008 à 2012, l’autorité de taxation a déterminé le chiffre d’affaires en comptabilisant l’ensemble des crédits figurant sur les relevés bancaires et postaux non déclarés du contribuable et en déduisant du total ainsi obtenu le chiffre d’affaires initialement déclaré. Les montants des reprises correspondent à la différence entre ces moments. ![endif]&gt;![if&gt; Devant la chambre de céans, le recourant conteste la méthodologie employée par l’autorité de taxation, faisant valoir qu’elle aurait dû recourir à la méthode des chiffres d’expérience ou coefficients expérimentaux. Il perd toutefois de vue que les comptes bancaires et postaux produits en cours de procédure font état de versements non déclarés à hauteur de CHF 1'200'269.- en 2008, CHF 901'657.- en 2009, CHF 957'438.- en 2010, CHF 1'025'342.- en 2011 et CHF 1'013'272.- en 2012. Ces montants sont venus accroître son patrimoine et représentaient de ce fait a priori des revenus imposables. Ainsi, dans la mesure où l’autorité intimée disposait d’éléments concrets indiquant une augmentation de revenus du contribuable, il n’était pas nécessaire de procéder à une taxation par appréciation. Les montants figurant sur les comptes bancaires justifiaient, à eux seuls, la reprise et l’imposition sur la totalité de ces sommes, à moins que le caractère non imposable des montants en cause ne soit démontré. La charge de cette contre-preuve revenait toutefois au contribuable, selon les principes précités. Pour démontrer que les montants crédités ne devaient pas être pris en compte à titre de chiffre d’affaires, le recourant a fourni, devant le TAPI, un tableau récapitulant les montants retenus à tort par l’AFC-GE (pièce 35 recourant). Ainsi, pour les années 2008 à 2012, un montant total de CHF 171'867.50 (soit CHF 10'244.05 pour 2008 ; CHF 11'293.55 pour 2009 ; CHF 109'432.40 pour 2010 ; CHF 26'394.55 pour 2011 et CHF 14'502.95 pour 2012), correspondant à des transactions provenant d’institutions d’assurance et de caisses de compensation (GGE et AVS), devait être déduit des montants retenus à titre de chiffre d’affaires sur la base des relevés bancaires et postaux. Devant le TAPI, l’intimée a admis que le recourant avait réussi à démontrer que ces montants ne constituaient pas des revenus provenant de son activité lucrative indépendante. Elle a ainsi proposé de déduire ces montants de la totalité des crédits non déclarés figurant sur les comptes UBS, Postfinance, Crédit Suisse et Crédit agricole. Seul faisait exception le montant de CHF 42'069.70 correspondant à la vente de titres pour l’année 2010, qui n’avait jamais été pris en compte dans le chiffre d’affaires de l’entreprise et qui n’avait, ainsi, pas donné lieu à une reprise. Il en résultait ainsi des reprises à hauteur de CHF 368'306.- pour 2008, CHF 33'491.- pour 2009, CHF 57'926.- pour 2010, CHF 83'174.- pour 2011 et CHF 75'994.- pour 2012 (pièce 25a intimée). Il convient ainsi de confirmer le montant de ces reprises, lesquelles correspondent aux pièces produites par le recourant. C’est le lieu de préciser, s’agissant du montant de CHF 42'069.70 correspondant à la vente de titres, que le recourant ne conteste pas spécifiquement cette reprise. Or, s’il était d’avis que ce gain ne constituait pas un revenu provenant d’une activité lucrative indépendante, il lui appartenait de prouver cette allégation, conformément au principe qui veut que le contribuable prouve les faits qui ont pour effet de diminuer la dette fiscale. Il appert ainsi que les reprises sont uniquement composées de montants dont le contribuable n’a pas pu démontrer qu’il ne s’agissait pas d’un revenu. Devant la chambre de céans, le recourant n’a produit aucune autre pièce pour compléter le tableau déjà produit en pièce 35. Or, s’il était d’avis que d’autres montants ne constituaient pas un revenu provenant d’une activité lucrative indépendante, il lui appartenait, comme déjà dit, de prouver cette allégation. Il convient dès lors de donner acte à l’AFC-GE de ce qu’elle s’est engagée à ramener les reprises litigieuses à CHF 368'306.- pour 2008, CHF 33'491.- pour 2009, CHF 57'926.- pour 2010, CHF 83'174.- pour 2011 et CHF 75'994.- pour 2012.</w:t>
      </w:r>
    </w:p>
    <w:p>
      <w:r>
        <w:rPr>
          <w:b/>
        </w:rPr>
        <w:t>E. 6</w:t>
      </w:r>
    </w:p>
    <w:p>
      <w:r>
        <w:t>Le recourant reproche ensuite à l’autorité précédente de n’avoir pas porté en déduction les charges complémentaires relatives aux cotisations d’assurances sociales. Il estime que l’autorité de taxation aurait dû prendre en considération une provision pour cotisations AVS.![endif]&gt;![if&gt;</w:t>
      </w:r>
    </w:p>
    <w:p>
      <w:r>
        <w:rPr>
          <w:b/>
        </w:rPr>
        <w:t>E. 6.1</w:t>
      </w:r>
    </w:p>
    <w:p>
      <w:r>
        <w:t>Sont déduits du revenu imposable des personnes physiques les primes, cotisations et montants légaux, statutaires ou réglementaires versés à l'assurance-vieillesse et survivants, à l'assurance-invalidité et à des institutions de la prévoyance professionnelle (art. 33 al. 1 let. d LIFD).![endif]&gt;![if&gt;</w:t>
      </w:r>
    </w:p>
    <w:p>
      <w:r>
        <w:rPr>
          <w:b/>
        </w:rPr>
        <w:t>E. 6.2</w:t>
      </w:r>
    </w:p>
    <w:p>
      <w:r>
        <w:t>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du Tribunal fédéral 2A.128/2007 du 14 mars 2008, in RF 63/2008, 630, consid. 5.2 et les références citées).  ![endif]&gt;![if&gt;</w:t>
      </w:r>
    </w:p>
    <w:p>
      <w:r>
        <w:rPr>
          <w:b/>
        </w:rPr>
        <w:t>E. 6.3</w:t>
      </w:r>
    </w:p>
    <w:p>
      <w:r>
        <w:t>À teneur de l'art. 960e al. 1 de la loi fédérale du 30 mars 1911, complétant le Code civil suisse (CO, Code des obligations - RS 220),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En outre, son alinéa 3 précise que des provisions peuvent être constituées notamment au titre de charges régulières découlant des obligations de garantie (ch. 1), de remise en état des immobilisations corporelles (ch. 2), de restructurations (ch. 3) et de mesures prises pour assurer la prospérité de l'entreprise à long terme (ch. 4). Il ressort de la formulation de l'art. 960e al. 2 et 3 CO (« il y a lieu » en opposition à « peuvent ») que les provisions relevant de l'al. 2 sont requises par le droit commercial, contrairement à celles mentionnées à l'alinéa 3 (Markus REICH/Marina ZÜGER/Philipp BETSCHART, Kommentar zum Bundesgesetz über die direkte Bundessteuer [DBG], 4 e éd. 2022, n° 1 ad art. 29 LIFD et les références).  ![endif]&gt;![if&gt;</w:t>
      </w:r>
    </w:p>
    <w:p>
      <w:r>
        <w:rPr>
          <w:b/>
        </w:rPr>
        <w:t>E. 6.4</w:t>
      </w:r>
    </w:p>
    <w:p>
      <w:r>
        <w:t>Aux termes de l'art. 29 al. 1 let. a LIFD, des provisions peuvent être constituées à la charge du compte de résultats pour les engagements de l'exercice dont le montant est encore indéterminé. Les véritables provisions au sens de l'art. 29 al. 1 let. a LIFD se distinguent par le fait qu'elles sont constituées pour un engagement fondé sur la loi ou sur un contrat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(ATF 141 II 83 consid. 5.1).  ![endif]&gt;![if&gt; Les cotisations sociales, dont le paiement repose sur la loi, peuvent être rangées dans la catégorie des provisions (R. DANON, op. cit., 2 e éd. 2017, n. 22 ad art. 63 LIFD et les références citées).</w:t>
      </w:r>
    </w:p>
    <w:p>
      <w:r>
        <w:rPr>
          <w:b/>
        </w:rPr>
        <w:t>E. 6.5</w:t>
      </w:r>
    </w:p>
    <w:p>
      <w:r>
        <w:t>Selon la jurisprudence,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L'admission au plan fiscal d'une provision non comptabilisée doit néanmoins intervenir si cette absence de comptabilisation viole une norme du droit commercial impérative sous l'angle du droit fiscal, comme l'art. 960e al. 2 CO. Une telle correction du bilan (« Bilanzberichtigung ») ne peut toutefois être admise qu'à titre exceptionnel. Le Tribunal fédéral a par ailleurs récemment souligné qu'une correction du bilan ne pouvait pas intervenir pour compenser une omission comptable imputable au contribuable (arrêt du Tribunal fédéral 2C_784/2017 du 8 mars 2018 consid. 7.3 ; cf. aussi arrêt du Tribunal fédéral 2C_29/2012 du 16 août 2012 consid. 2.1, in RF 67/2012 p. 756, où le Tribunal fédéral a jugé qu'il fallait faire preuve de la plus grande retenue lorsque des corrections de bilan ont un but fiscal). Il a en revanche admis qu'il fallait corriger une provision pour impôt qui avait bien été comptabilisée, mais qui était devenue insuffisante en raison d'une reprise effectuée dans le bénéfice imposable (ATF 141 II 83 consid. 5.5 ; cf. aussi arrêt du Tribunal fédéral 2C_662/2014 du 25 avril 2015 consid. 6.5, in RDAF 2015 II 267 ).  ![endif]&gt;![if&gt;</w:t>
      </w:r>
    </w:p>
    <w:p>
      <w:r>
        <w:rPr>
          <w:b/>
        </w:rPr>
        <w:t>E. 6.6</w:t>
      </w:r>
    </w:p>
    <w:p>
      <w:r>
        <w:t>Les cotisations AVS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 RS 831.101). Pour établir le revenu déterminant, les autorités fiscales cantonales se fondent sur la taxation passée en force de l'impôt fédéral direct (art. 23 al. 1 RAVS). Les cotisations définitives ne peuvent donc être déterminées, au plus tôt, que l'année suivant celle en cause. Pendant l'année de cotisation, les personnes tenues de payer des cotisations doivent verser périodiquement des acomptes de cotisations (art. 24 al. 1 RAVS).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(cf. ATF 141 II 83 consid. 5.2 ; arrêts du Tribunal fédéral 2C_734/2010 du 2 février 2011 consid. 2.1 ; 2A.128/2007 du 14 mars 2008, in RF 63/2008, 630, consid. 5.4 et les références citées).  ![endif]&gt;![if&gt;</w:t>
      </w:r>
    </w:p>
    <w:p>
      <w:r>
        <w:rPr>
          <w:b/>
        </w:rPr>
        <w:t>E. 6.7</w:t>
      </w:r>
    </w:p>
    <w:p>
      <w:r>
        <w:t>Dans un arrêt récent 2C_487/2022 du 5 septembre 2023, concernant un agriculteur exploitant des parcelles à titre d’indépendant, le Tribunal fédéral a estimé que quand bien même le recourant ne provisionnait pas ses cotisations AVS dans sa comptabilité, il tenait une comptabilité en partie double, de sorte que la création de provisions dans sa comptabilité pour ses cotisations AVS était possible. À la suite des reprises effectuées s’agissant des revenus du contribuable en lien avec la vente des parcelles, le refus d’admettre au plan fiscal une provision initialement non comptabilisée pour les cotisations AVS de l’année 2017 violait l’art. 960e al. 2 CO, disposition comptable impérative sous l’angle du droit fiscal. L'augmentation très importante du montant dû à titre de cotisations AVS pour l'année 2017, par rapport aux précédents exercices, impliquait qu'une provision soit établie à ce titre dans la comptabilité du contribuable. En outre, le contribuable n’avait pas intégré une telle provision dans sa comptabilité sans faute de sa part, car il ne pouvait pas savoir que les autorités fiscales allaient reprendre le montant des ventes de ses terrains dans son revenu, celui-ci ayant déjà été taxé sous l'angle de l'impôt sur les gains immobiliers. Dans ces circonstances particulières, il convenait de retenir que la correction, sous l'angle fiscal, de la comptabilité du contribuable, en ce sens que les cotisations AVS pour l'année 2017 calculées sur la base du revenu du contribuable comprenant la vente des parcelles étaient provisionnées pour cet exercice, était justifiée afin que la taxation corresponde le plus possible à la situation financière réelle du contribuable (consid. 4.7).  ![endif]&gt;![if&gt;</w:t>
      </w:r>
    </w:p>
    <w:p>
      <w:r>
        <w:rPr>
          <w:b/>
        </w:rPr>
        <w:t>E. 6.8</w:t>
      </w:r>
    </w:p>
    <w:p>
      <w:r>
        <w:t>En l’occurrence, l’autorité intimée a relevé que le recourant avait opté pour la méthode de l’encaissement, en ce sens que les cotisations étaient enregistrées à la date de leur paiement. Devant la chambre de céans, le recourant ne conteste pas cet élément, qui résulte au demeurant des pièces au dossier et de ses explications lors de l’audience de comparution personnelle. Les cotisations AVS étaient donc enregistrées à une date qui ne coïncidait pas avec l’année pour laquelle elles étaient dues. Ainsi, en application des principes précités, c’est le moment du règlement des factures par l’indépendant qui est déterminant, étant rappelé que lorsque le contribuable choisit une des méthodes admises, il doit s’y tenir. Contrairement à la situation ayant donné lieu à l’arrêt 2C_487/2022 précité, le recourant ne tenait pas une comptabilité en partie double, de sorte que la création de provisions dans sa comptabilité pour ses cotisations AVS n’était pas possible. On ne saurait d’ailleurs admettre que c’est sans faute de sa part que le recourant n’a pas intégré une telle provision dans sa comptabilité. C’est le lieu de rappeler que les rappels d’impôts font suite à une communication de l’AFC-CH, selon laquelle le recourant n’avait pas déclaré un certain nombre de comptes bancaires et postaux. L’instruction a ensuite révélé que des montants importants – au total près de CHF 600'000.- pour les années 2008 à 2012 – crédités sur des comptes bancaires à son nom, n’avaient jamais été déclarés aux autorités fiscales. C’est partant à juste titre que le TAPI a considéré que le paiement des cotisations n’était déductible que dans l’année de leur versement effectif. Pour le reste, le recourant n’a produit aucune pièce permettant de justifier la prise en compte de charges supplémentaires durant la période litigieuse.![endif]&gt;![if&gt; Le recours doit en conséquence être rejeté sur ce point.</w:t>
      </w:r>
    </w:p>
    <w:p>
      <w:r>
        <w:rPr>
          <w:b/>
        </w:rPr>
        <w:t>E. 7</w:t>
      </w:r>
    </w:p>
    <w:p>
      <w:r>
        <w:t>Le recourant conteste le bien-fondé des amendes infligées par l’autorité intimée pour soustraction d’impôts concernant l’année fiscale 2012. ![endif]&gt;![if&gt;</w:t>
      </w:r>
    </w:p>
    <w:p>
      <w:r>
        <w:rPr>
          <w:b/>
        </w:rPr>
        <w:t>E. 7.1</w:t>
      </w:r>
    </w:p>
    <w:p>
      <w:r>
        <w:t>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LPFisc).![endif]&gt;![if&gt;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w:t>
      </w:r>
    </w:p>
    <w:p>
      <w:r>
        <w:rPr>
          <w:b/>
        </w:rPr>
        <w:t>E. 7.2</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a).![endif]&gt;![if&gt;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 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in RDAF 2012 II 324 ).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du 20 septembre 2019 consid. 3 et les références, in RF 75/2020 p. 71).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ATA/1262/2015 précité consid. 7c ; ATA/370/2015 précité consid. 6c ; ATA/798/2014 du 14 octobre 2014 et les références citées).</w:t>
      </w:r>
    </w:p>
    <w:p>
      <w:r>
        <w:rPr>
          <w:b/>
        </w:rPr>
        <w:t>E. 7.3</w:t>
      </w:r>
    </w:p>
    <w:p>
      <w:r>
        <w:t>En l’espèce, le recourant ne conteste pas que les éléments objectifs de la soustraction fiscale, soit l’existence de déclarations d’impôts irrégulières, étaient remplis, mais invoque son absence de compétences et de connaissances en matière comptable et fiscale. Il s’en était remis au professionnel qu’il avait mandaté pour s’occuper du volet administratif de son entreprise. Il avait d’ailleurs changé de mandataire en 2014, après avoir constaté que sa comptabilité n’était pas effectuée de manière correcte.![endif]&gt;![if&gt; Or, même sans être au bénéfice d’une formation particulière en fiscalité, il convient de retenir que le recourant, de par son activité professionnelle à titre d’indépendant, disposait des capacités suffisantes pour se rendre compte des conséquences de l’absence d’enregistrement de certaines recettes dans les comptes de son entreprise. Il ne pouvait ignorer que plusieurs comptes bancaires et biens immobiliers, de même que son coffre-fort, ne figuraient pas dans ses déclarations fiscales, étant rappelé que l’instruction menée par l’autorité intimée a permis d’établir que des revenus de plus de CHF 600'000.- n’avaient pas été déclarés aux autorités fiscales pour les années 2008 à 2012. Conformément à la jurisprudence précitée, le fait que sa comptabilité et ses déclarations fiscales aient été établies par une fiduciaire ne permet pas de le décharger de ses obligations fiscales. Le recourant n’a d’ailleurs pas démontré avoir informé sa fiduciaire de tous les éléments de fortune et de revenus en cause. Il invoque certes avoir changé de fiduciaire en 2014 après avoir constaté que sa comptabilité n’avait pas été effectuée de manière correcte, mais ne soutient pas en avoir avisé les autorités fiscales. Par ailleurs, en agissant en tant que titulaire de l’entreprise individuelle, bénéficiant d’une signature individuelle, le recourant ne pouvait faire abstraction de ses obligations légales, au sens des art. 958 ss CO, en matière de présentation des comptes et comptabilisation au bilan. Ses fonctions de titulaire ne lui permettaient pas de renoncer à ses obligations, ce d’autant moins qu’il lui revenait de signer les rapports de gestion dans lesquels les comptes étaient présentés, selon l’art. 958 al. 3 CO. La preuve d'un comportement intentionnel, à tout le moins sous la forme du dol éventuel, doit ainsi être considérée comme apportée. C’est partant à juste titre que l'autorité intimée a retenu que les éléments constitutifs d'une soustraction d'impôt étaient réunis.</w:t>
      </w:r>
    </w:p>
    <w:p>
      <w:r>
        <w:rPr>
          <w:b/>
        </w:rPr>
        <w:t>E. 8</w:t>
      </w:r>
    </w:p>
    <w:p>
      <w:r>
        <w:t>Reste à examiner la quotité des amendes prononcées.![endif]&gt;![if&gt;</w:t>
      </w:r>
    </w:p>
    <w:p>
      <w:r>
        <w:rPr>
          <w:b/>
        </w:rPr>
        <w:t>E. 8.1</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6c).![endif]&gt;![if&gt;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8.2</w:t>
      </w:r>
    </w:p>
    <w:p>
      <w:r>
        <w:t>En l’espèce, quoi qu’en pense le recourant, le montant des reprises sur le chiffre d’affaires de l’entreprise pour l’année 2012, soit CHF 75'994.-, est relativement important. S’ajoute à cela que les comptes bancaires et postaux, biens immobiliers et coffre-fort litigieux n'ont pas été déclarés pendant presque dix ans, ce qui constitue des éléments à charge, de même que le caractère intentionnel de l’infraction, commise à tout le moins par dol éventuel.![endif]&gt;![if&gt; L’autorité intimée a retenu une quotité d’une fois le montant des impôts soustraits. Compte tenu de la gravité des faits reprochés, ce montant apparait justifié au regard de la bonne collaboration du recourant neutre en matière de quotité de la peine. L'autorité intimée a ainsi respecté le cadre légal et n'a pas fait preuve d'une sévérité excessive. En conséquence, les amendes infligées sont justifiées tant dans leur principe que dans leur quotité. Le recours est ainsi partiellement admis. Les bordereaux de rappels d’impôts IFD et ICC 2008 à 2012 sont annulés dans la mesure reconnue par l’AFC-GE. Le dossier sera donc renvoyé à celle-ci afin qu’elle établisse des bordereaux de rappel d’impôt IFD et ICC 2008 et 2012 tenant compte des rectifications qu’elle a admises. Le jugement du TAPI sera confirmé pour le surplus.</w:t>
      </w:r>
    </w:p>
    <w:p>
      <w:r>
        <w:rPr>
          <w:b/>
        </w:rPr>
        <w:t>E. 9</w:t>
      </w:r>
    </w:p>
    <w:p>
      <w:r>
        <w:t>Vu l’issue du litige, un émolument de CHF 2'000.- sera mis à la charge du recourant. N’obtenant que très partiellement gain de cause, une indemnité de procédure de CHF 1’000.- lui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