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A/4433/2019 vom 8. Dezember 2021</w:t>
      </w:r>
    </w:p>
    <w:p>
      <w:r>
        <w:t>GE Cour de justice, 2021-12-08, FR</w:t>
      </w:r>
    </w:p>
    <w:p>
      <w:r>
        <w:rPr>
          <w:b/>
        </w:rPr>
        <w:t xml:space="preserve">Quelle: </w:t>
      </w:r>
      <w:r>
        <w:t>https://mcp.opencaselaw.ch/entscheid/ge_gerichte_A_4433_2019</w:t>
      </w:r>
    </w:p>
    <w:p>
      <w:r>
        <w:t>FR: GE_GERICHTE A/4433/2019 du 8 décembre 2021</w:t>
      </w:r>
    </w:p>
    <w:p>
      <w:r>
        <w:t>IT: GE_GERICHTE A/4433/2019 del 8 dicembre 2021</w:t>
      </w:r>
    </w:p>
    <w:p>
      <w:pPr>
        <w:pStyle w:val="Heading2"/>
      </w:pPr>
      <w:r>
        <w:t>Erwägungen</w:t>
      </w:r>
    </w:p>
    <w:p>
      <w:r>
        <w:rPr>
          <w:b/>
        </w:rPr>
        <w:t>E. 4</w:t>
      </w:r>
    </w:p>
    <w:p>
      <w:r>
        <w:t>ème Chambre En la cause Madame A______, domiciliée c/o Madame B______, à GENÈVE, comparant avec élection de domicile en l’étude de Maître Cyril MIZRAHI recourante contre OFFICE DE L'ASSURANCE-INVALIDITÉ DU CANTON DE GENÈVE, sis rue des Gares 12, GENÈVE intimé EN FAIT A.      a. Madame A______ (ci-après l’assurée ou la recourante) est née le ______ 1972, de nationalité nicaraguayenne, célibataire et mère d’une fille née le ______ 1992 et d’un fils né le ______ 2014. Elle a occupé divers emplois en Suisse, entre 2000 et 2013, comme garde de personnes âgées, lingère, femme de chambre et nettoyeuse et elle a travaillé en dernier lieu comme agente de nettoyage pour C______ SA depuis 2016. b. L’assurée a été victime d’un accident le 12 janvier 2017. Elle a chuté d’une hauteur d’environ 2 m dans la rue, en raison d’une grille de protection manquante, et elle a ainsi subi une entorse de sa cheville droite, compliquée d’une fracture bi-malléolaire avec luxation entero-postérieure de l’articulation tibio-talienne de la cheville droite. c. Elle a fait l’objet d’une ostéosynthèse bi-malléolaire de la cheville droite le 17 janvier 2017 aux Hôpitaux universitaires de Genève (ci-après les HUG) avec vis de syndesmose et plastie du ligament deltoïde. d. Le 2 juin 2017, elle a subi une ablation de vis de syndesmose. e. Elle a déposé une demande de prestations d’assurance-invalidité datée du 28 juillet 2017 et enregistrée à l’office de l’assurance-invalidité du canton de Genève (ci-après l’OAI ou l’intimé) le 18 août 2017. f. Selon un rapport établi par le docteur D______, médecin interne FMH, du 4 octobre 2017, les suites post-opératoires immédiates de l’intervention chirurgicale du 17 janvier 2017 avaient été simples, mais l’assurée avait développé des douleurs de la cheville entraînant un arrêt de travail de 100% jusqu’au 2 juin 2017. À cette date, elle avait bénéficié d’une ablation de la vis de syndesmose aux HUG avec poursuite de l’arrêt de travail à 100%, toujours établi par les HUG, jusqu’au 2 juillet 2017, puis à 50% du 3 juillet au 3 août 2017. Durant le mois de juillet, la reprise du travail avait été impossible, en raison des douleurs de l’assurée au niveau de la cheville et du talon droit, qui étaient essentiellement déclenchées par la station debout et la mise en charge du membre. L’assurée décrivait également une tuméfaction locale en cas de station debout prolongée ou de charge importante. Elle avait été évaluée le 8 août 2017. Le status local était calme, sans signe inflammatoire, par contre, le testing de la cheville était limité dans toutes les amplitudes, avec des douleurs essentiellement au niveau antérieur de la cheville. Dans cette situation, le Dr D______ poursuivait l’arrêt de travail à 100% jusqu’au 13 août 2017, avec une reprise partielle à 50% prévue dès le 14 août 2017. Le médecin proposait la poursuite du traitement actuel, à savoir de la physiothérapie intensive (deux fois par semaine), des exercices à domicile par la patiente, la prise de Tramal 50 mg 4 fois par jour en réserve et l’application locale de glace en cas de tuméfaction. g. Selon un avis de sortie du 5 avril 2018, l’assurée a été hospitalisée aux HUG du 4 au 5 avril 2018 pour : « S/P OS de cheville bi-malléolaire droite », avec un arrêt de travail jusqu’au 20 avril 2018. h. Selon des certificats médicaux établi par les HUG, l’assurée a été totalement incapable de travailler du 4 au 27 avril 2018, puis à 50% du 16 juin au 16 juillet 2018. i. Selon un rapport établi par le docteur E______, médecin chef de clinique du service de chirurgie orthopédique et traumatologie de l’appareil moteur des HUG le 4 octobre 2018, l’assurée décrivait la persistance des douleurs au niveau de la cheville droite et présentait des difficultés à marcher. Elle travaillait comme femme de ménage et une reprise de son activité avait pu être faite à 50%, puis à 70% depuis le 11 septembre 2018. On notait une tolérance exigible à l’effort qui était de 70%, en raison des douleurs et une limitation fonctionnelle de la cheville droite. j. Selon un rapport établi le 11 octobre 2018 par le Dr E______, l’assurée souffrait actuellement d’une fasciite plantaire favorisée par un raccourcissement des chaînes postérieures, une raideur sous-talienne et des adhérences cicatricielles post-chirurgicales à la cheville droite. Elle exerçait la profession de femme de ménage, qui nécessitait de multiples déplacements et des ports de charges. Le status post-fracture avec présence d’une raideur articulaire, des adhérences cicatricielles et des raccourcissements des chaînes musculaires postérieures associées à une fasciite plantaire réactionnelle limitait ses déplacements. Elle travaillait actuellement à 70% depuis le 11 septembre 2018. Sa capacité de travail serait de 100% dans le cadre d’un travail principalement sédentaire. L’aménagement de son travail actuel ou l’affectation à un poste différent au sein de l’entreprise était donc recommandé. k. Le docteur F______, médecin chef de clinique du département de chirurgie de la main des HUG a établi le 3 avril 2019 un arrêt de travail à 50% pour l’assurée en tant que femme de chambre. Sa capacité de travail était de 100% dans un travail sédentaire, respectant les limitations fonctionnelles suivantes : pas de marche prolongée, pas de station debout prolongée, pas de port de charge lourde, pas de montée ou descente répétée d’escalier ou d’échelle. l. Le 6 juin 2019, le Dr F______ a confirmé l’arrêt de travail à 50% du 1 er juin au 30 juin 2019 en tant que femme de chambre. m. L’assurée a été expertisée par le docteur G______, expert médical certifié SIM, spécialiste FMH en chirurgie orthopédique, à la demande de la Bâloise. Selon un rapport établi le 5 avril 2019, ce médecin avait examiné l’assurée le 22 mars 2019 pour définir les séquelles actuelles au niveau de la cheville droite en relation avec l’événement du 12 janvier 2017 avec une interprète. Le rapport d’expertise se fondait sur cet entretien, le status effectué le jour même, le dossier de la Bâloise et le dossier radiologique amené par l’assurée. n. Selon un avis établi par le docteur H______, du service médical régional de l’assurance-invalidité (ci-après le SMR), le 16 octobre 2019, au vu de l’atteinte et des éléments au dossier, il fallait considérer que l’ancienne activité de l’assurée n’était définitivement plus possible depuis le 12 janvier 2017. Dans une activité strictement adaptée aux limitations fonctionnelles d’épargne de la cheville droite (activité essentiellement assise, pas de station debout et de marche prolongée, pas de marche en terrain instable ou irrégulier, pas d’échelle ou d’escabeau, pas de montée et descente d’escaliers répétées), la capacité de travail était pleine, depuis au moins le 14 août 2017 (date de la reprise à 50% dans l’ancienne activité). o. Par projet de décision du 24 octobre 2019, l’OAI a rejeté la demande de prestations de l’assurée. Son statut était celui d’une personne se consacrant à 28% à son activité et pour les 72% à l’accomplissement de ses travaux habituels dans le ménage. À l’issue de l’instruction médicale, l’OAI lui reconnaissait une incapacité durable de 100% dans son activité habituelle, dès le 12 janvier 2017, début du délai d’attente d’un an, et considérait que dans une activité adaptée à son état de santé, sa capacité de travail était de 100% dès le 14 août 2017. L’invalidité dans la sphère des travaux habituels était évaluée en fonction des difficultés rencontrées par la personne assurée à accomplir ses travaux habituels. Les informations recueillies permettaient de constater que son atteinte à la santé lui permettait de maintenir une qualité de vie correcte et qu’elle n’avait pas d’influence sur l’accomplissement de ses travaux ménagers. Il ressortait de la comparaison des gains effectuée par ses services, compte tenu de la capacité de travail résiduelle, que son invalidité dans la sphère professionnelle se calculait de la manière suivante : revenu sans invalidité CHF 13'805.- et revenu avec invalidité CHF 13'246.-, soit une perte de gain de 0%. Jusqu’au 31 décembre 2017, son degré d’invalidité était de 0% en tenant compte d’une pondération entre la part active et la part des travaux habituels. Dès le 1 er janvier 2018, selon le nouveau mode de calcul de la méthode mixte, son taux d’invalidité était toujours de 0%. Des mesures professionnelles n’étaient pas indiquées dans sa situation. Au vu du large éventail d’activités non qualifiées que recouvraient les secteurs de la production et des services, il s’avérait qu’un nombre significatif de ces activités était adapté à ses limitations fonctionnelles et que l’intervention de l’OAI ne se justifiait pas. L’assurée ne remplissait pas la condition d’une perte de gain de 20% nécessaire pour obtenir un reclassement professionnel. En présence d’autres freins à la recherche d’un emploi (assèchement du marché, âge, langue), l’OAI n’avait pas à fournir à l’assurée un appui spécifique d’aide au placement. Au regard de son statut mixte et du temps dévolu au travail, des mesures professionnelles ne seraient pas de nature à réduire le dommage de manière conséquente et notable. p. L’assurée a informé l’OAI par téléphone qu’elle n’était pas d’accord avec l’appréciation médicale, considérant ne pas être totalement capable de travailler dans une activité adaptée. Un délai lui avait été octroyé pour faire parvenir à l’OAI des éléments nouveaux au 3 décembre 2019. Passé ce délai, la décision serait confirmée. q. Le 26 novembre 2019, l’OAI a confirmé son projet de décision, en l’absence de contestation de la part de l’assurée dans le délai fixé par celui-ci. B.       a. Le 27 novembre 2019, l’assurée a formé recours contre la décision précitée auprès de la chambre des assurances sociales de la Cour de justice. b. Le 9 janvier 2020, l’intimé a conclu au rejet du recours. c. Par réplique du 30 janvier 2020, l’assurée a confirmé son recours jusqu’à ce que le docteur lui confirme si elle aurait une prochaine opération de sa cheville. Son pied n’était toujours pas à 100% depuis l’opération. Elle faisait encore de la physiothérapie à ce jour. d. La recourante a été entendue par la chambre de céans le 26 août 2020. e. Le 21 octobre 2020, la recourante a fait valoir qu’elle continuait à exercer son activité habituelle au péril de sa santé, notamment en raison de la position debout, alors que son incapacité de travail totale dans cette activité n’était pas contestée, faute de pouvoir trouver une activité adaptée où elle pourrait travailler en position assise. Une capacité de travail de 100% dans une activité adaptée n’était dès lors pas établie, de sorte qu’une rente devait lui être allouée. Subsidiairement, elle contestait le calcul du revenu avec invalidité et demandait des mesures professionnelles. f. Le 11 mars 2021, la chambre de céans a ordonné l’apport du dossier LAA de la recourante.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3.        Le délai de recours est de trente jours (art. 56 LPGA; art. 62 al. 1 de la de loi sur la procédure administrative du 12 septembre 1985 [LPA - E 5 10]). Interjeté dans la forme et le délai prévus par la loi, le recours est recevable. 4.        Le litige porte sur le droit de la recourante à une rente d’invalidité et à des mesures d’ordre professionnel. 5.        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5.3. 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ATAS/56/2016 du 27 janvier 2016 consid. 10; cf. également ATAS/784/2016 du 29 septembre 2016 consid. 11). Dans l’arrêt 9C_881/2019 précité, le Tribunal fédéral a considéré que dans la mesure où il était établi par un rapport médical qu'au niveau du genou gauche et de l'épaule gauche de l’assuré, la situation ne s'était pas modifiée d'une manière essentielle depuis une année, il était raisonnable d'admettre que la situation était stabilisée. Il en allait de même en ce qui concerne la cheville gauche, sept mois après une fracture non déplacée de la malléole interne. Selon l’ ATAS/56/2016 précité, si un état stationnaire peut être considéré comme étant stabilisé, il n’en va pas de même lorsque des mesures médicales sont préconisées (arrêt du Tribunal fédéral des assurances U 490/05 du 22 novembre 2006 consid. 2.1). Dans un arrêt 9C_839/2017 du 24 avril 2018, le Tribunal fédéral a jugé que le fait que le recourant avait subi une intervention chirurgicale au poignet droit postérieurement au prononcé administratif et que cette intervention était apparemment liée à des séquelles de l'accident en cause ne suffisait pas pour rendre vraisemblable qu'elle aurait été de nature à influencer l'appréciation des atteintes à la santé du recourant au moment du prononcé de la décision litigieuse. En instance cantonale, le recourant n'avait produit aucun rapport relatif à cette opération et qui aurait établi que son état de santé n'était pas stabilisé au moment de la décision. De plus un médecin avait déjà pris en compte la nécessité d'une telle intervention qui avait selon lui pour seul objectif de diminuer les douleurs résiduelles ressenties par le recourant à son poignet droit mais pas d'en améliorer la fonction. 6.        6.1.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8.1. Dans la décision querellée, l’intimé a retenu une incapacité durable de travailler de la recourante de 100% dans son activité habituelle dès le 12 janvier 2017, début du délai d’attente d’un an, et une capacité de travail de 100% dans une activité adaptée à ses limitations fonctionnelles dès le 14 août 2017. La recourante a fait valoir que son état de santé ne lui permettait pas d’exercer un emploi à 100% en raison de ses douleurs aiguës. L’intimé a estimé que la recourante n’avait apporté aucun rapport médical remettant en cause les conclusions de l’expert et du SMR, rappelant le principe de l’obligation de réduire le dommage qui commandait aux assurés de mettre leur capacité de gain résiduelle à profit en accomplissant une activité lucrative compatible avec leur état de santé. 8.2. La décision a été prise sur la base de l’expertise du Dr G______ du 5 avril 2019, laquelle remplit les réquisits pour se voir reconnaître une pleine valeur probante. Selon l’expert, si plus aucune intervention chirurgicale n’avait lieu, on pouvait considérer que la situation actuelle était quasiment stabilisée et qu’il fallait confectionner des chaussures adaptées pour permettre à l’assurée de s’adapter le mieux possible à son handicap résiduel. S’agissant des limitations fonctionnelles, l’expert a indiqué que si l’assurée pouvait avoir une activité respectant ses limitations, sa capacité de travail était entière sans baisse de rendement. À la question de savoir si en cas de capacité de travail résiduelle, l’assurée avait besoin de manière durable d’un traitement ou de soins pour conserver sa capacité de travail résiduelle, l’expert a répondu que cette question était sans objet pour le moment, puisqu’il fallait attendre la décision d’une éventuelle intervention de nettoyage de la cheville droite de l’assurée et surtout que l’assurance-invalidité la prenne en charge pour un reclassement professionnel. Le 26 juin 2019, la Bâloise a interpellé le docteur I______, spécialiste FMH en chirurgie orthopédique et traumatologie de l’appareil locomoteur, pour savoir si une nouvelle intervention chirurgicale pourrait amener une amélioration à l’état de l’assurée, précisant que sans nouvelle intervention chirurgicale à court terme, elle partirait du principe que la situation médicale était stabilisée. Dans son rapport du 27 juin 2019, le Dr I______ n’a pas parlé d’une nouvelle intervention chirurgicale à court terme, mais a prescrit un traitement de physiothérapie maximaliste et des semelles orthopédiques sur mesure afin de corriger les défauts statiques que l’assurée présentait. Le 10 juillet 2019, le docteur J______, du service de chirurgie orthopédique et traumatologie de l’appareil moteur des HUG, a indiqué que du point de vue strictement orthopédique, la capacité de travail de l’assurée dans son activité habituelle d’agente d’entretien était de 100% dès le 30 juin 2019. Sa capacité était la même dans une activité strictement adaptée à ses limitations fonctionnelles. Ce rapport ne remet pas sérieusement en cause les conclusions de l’expert sur la capacité de travail dans l’activité habituelle, car il ne répond pas aux réquisits permettant de lui reconnaître une pleine valeur probante. Il résulte des deux rapports précités qu’aucune nouvelle intervention chirurgicale n’était en mesure d’améliorer l’état de santé de la recourante. En conséquence, il y a lieu de retenir que l’état de santé de la recourante était stabilisé dès le 30 juin 2019. Ce n’est donc qu’à partir de cette date, que l’intimé pouvait prendre en compte une capacité résiduelle de travail dans une activité adaptée de 100%. Le fait que la recourante ait repris son activité habituelle dès le 14 août 2017 ne permet pas d’en juger autrement, celle-ci ayant déclaré que suite à sa deuxième opération du 2 juin 2017, elle se déplaçait avec des béquilles, même après avoir recommencé à travailler. Elle posait la béquille de côté, mais ce n’était pas facile, elle avait la cheville qui gonflait et elle ne s’était pas sentie mieux s’agissant de sa cheville après l’opération du 5 avril 2018. Le rapport établi par le Dr D______ du 4 octobre 2017, dans lequel celui-ci indiquait qu’une reprise était prévue dès le 14 août 2017, ne suffit pas non plus à remettre en cause la conclusion du Dr G______, le Dr D______ ayant manifestement pris acte du fait que la recourante avait recommencé à travailler dans son activité habituelle, sans procéder à une analyse complète de son état de santé ni de sa capacité réelle de travailler. Les rapports établis le 11 octobre 2018 par le Dr E______ et le 3 avril 2019 par le Dr F______ confirment que la capacité de travail de l’assurée était de 100% dans le cadre d’un travail principalement sédentaire, mais ne remettent pas en cause le fait que l’état de santé de la recourante ne doit être considéré comme stabilisé qu’à partir du 1 er juillet 2019. 9.        9.1. La recourante n’a pas contesté le statut retenu par l’intimé, qui a retenu un statut mixte, avec une part de 28% consacrée à une activité lucrative et une part de 72% consacrée à l’accomplissement de ses travaux habituels dans le ménage. Il convient toutefois d’examiner cette question, qui entre dans l’objet du litige, puisqu’elle est déterminante pour fixer le taux d’invalidité et par conséquent le droit de la recourante à une rente d’invalidité. 9.2.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9.3. Selon une note sur le statut établie le 15 novembre 2018, OAI a retenu que la recourante était âgée de 46 ans et mère de deux enfants. Elle travaillait en qualité de nettoyeuse depuis de nombreuses années. À la lecture de son compte individuel, il était constaté qu’en 2012 et 2013, elle travaillait pour Chèque Service à 60%, ce qu’elle avait confirmé par écrit. Elle disait avoir diminué son taux de travail en raison de la naissance de son fils cadet en 2014. Au moment de l’incapacité de travail, à savoir en janvier 2017, elle travaillait à raison de 11,30 heures par semaine, ce qui correspondait à un taux d’activité total de 28% (trois employeurs). Afin d’éclaircir son statut, il avait été pris contact avec l’assurée. Elle avait dit ne plus être en incapacité de travail. Elle était aidée par l’Hospice général et avait confirmé qu’au moment de l’incapacité de travail, c’était par choix personnel qu’elle travaillait à taux partiel. Depuis mai 2018, elle souhaitait augmenter ses heures de travail car son fils cadet irait à l’école. Au vu de ce qui précédait, le statut de l’assurée était mixte (28%). L’intimé n’a ainsi pas retenu la volonté exprimée par la recourante d’augmenter ses heures de travail dès mai 2018, car son fils irait alors à l’école, étant précisé que son fils a eu 4 ans en 2018. Le fait qu’elle élevait seule son fils et qu’elle a déclaré lors de son audition par la chambre de céans ne plus vouloir être aidée financièrement par l’Hospice général confirme que sans atteinte à la santé, elle aurait sans doute travaillé à plus de 28% lors de la décision querellée, le 26 novembre 2019, de même le fait qu’elle a recommencé à travailler après sa deuxième opération, alors qu’elle se déplaçait encore avec des béquilles. En effet, selon le rapport de consultation établi par les HUG le 22 juin 2018, elle travaillait à 50% comme femme de ménage, alors qu’elle présentait toujours des douleurs persistantes au niveau du bord latéral de son pied et du tendon d’Achille. Le Dr E______ a outre indiqué, le 4 octobre 2018, que l’assurée décrivait la persistance des douleurs au niveau de la cheville droite, qu’elle présentait des difficultés à marcher et qu’elle avait repris son activité de femme de ménage à 50%, puis à 70% depuis le 11 septembre 2018. L’empressement de la recourante à retravailler dans son activité habituelle, dans lequel elle est totalement incapable de travailler sur le plan médico-théorique selon l’expert, et le fait qu’elle cumule les emplois confirme qu’en bonne santé, la recourante aurait augmenté son taux d’activité. S’agissant du taux d’activité auquel elle travaillerait, il convient de le fixer à 60%, en tenant compte du fait que, le 15 janvier 2018, l’OCE a informé l’OAI que l’assurée s’était inscrite à la recherche d’un emploi à 60% et qu’elle avait eu droit aux indemnités du 1 er octobre au 30 septembre 2011 et qu’il ressort de son compte individuel, qu’en 2012 et 2013, elle travaillait pour Chèques Service à 60%. Au vu des considérations qui précèdent, il y a lieu de retenir que la recourante a un statut mixte avec une part professionnelle de 60% et une part ménagère de 40%. 10.    10.1. La recourante a encore contesté les revenus pris en compte pour établir son taux d’invalidité. 10.2.1.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10.2.2. Le taux d’invalidité en lien avec les travaux habituels est, comme c’était le cas auparavant, déterminé au moyen de la méthode de comparaison des types d’activités prévue à l’art. 28 a al. 2 LAI. L’invalidité est calculée en fonction de l’incapacité de l’assuré à accomplir ses travaux habituels.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La mise en oeuvre d'une enquête ménagère en cas de statut mixte n'est toutefois pas imposée par le droit fédéral (arrêt I 99/00 du 26 octobre 2000 consid. 3c in VSI 2001 p. 155). Il n'y a pas lieu de procéder à un acte administratif qu'une appréciation anticipée des preuves désigne clairement comme inutile ( 9C_103/2010 2 du septembre 2010). 10.2.3.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l’ESS 2016, le 26 octobre 2018 (étant précisé que le tableau T1_tirage_skill_level a été corrigé le 8 novembre 2018) ;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arrêt du Tribunal fédéral 9C_371/2013 du 22 août 2013 consid. 5.3). Pour les assurés dont sont exigibles des activités non qualifiées, à savoir du niveau de compétence 1 (tâches physiques ou manuelles simples), le salaire statistique est effectivement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8C_175/2020 précité consid. 4.2). En d'autres termes, il n'y a pas lieu de prendre en considération d'autres critères d'abattement que celui des limitations fonctionnelles dans les cas où des activités non qualifiées sont exigibles de l'assuré (arrêt du Tribunal fédéral 8C_476/2020 du 15 février 2021).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Le fait que l’assuré soit titulaire d’un permis B n’est pas pertinent (arrêt du Tribunal fédéral 9C_702/2020 du 1 er février 2021 consid. 6.3.2 et les références). Les activités simples et répétitives ne nécessitent pas une bonne maîtrise d'une langue nationale (arrêt du Tribunal fédéral 9C_42/2017 du 29 juin 2017 consid. 3.4). 10.3. La recourante a fait valoir que de façon choquante et totalement arbitraire, l’OAI avait retenu un revenu avec invalidité (CHF 13'805.-) supérieur à celui sans invalidité (CHF 13'246.-). Il était contraire à toute logique de considérer que son invalidité lui permettrait d’améliorer sa situation financière ne serait-ce qu’en raison de l’impossibilité de trouver un travail autre que son activité habituelle. Le rapport d’expertise du Dr G______ du 5 avril 2019 excluait également, en pratique, les activités de bureaux, compte tenu de ses limitations de la pratique de la langue française et préconisait des travaux d’établi dans l’horlogerie, la micromécanique, la couture ou la reliure. Faute de formation dans ce domaine et donc d’activité adaptée, la capacité de travail de 100% dans une activité adaptée à son état de santé n’était pas établie. Compte tenu de sa situation socioprofessionnelle (permis B et maîtrise du français écrit limité) et la baisse de rendement en raison des douleurs persistantes ainsi que des difficultés à changer de position, le salaire avec invalidité retenu ne pouvait excéder le salaire sans invalidité. Le revenu annuel brut avec invalidité devait donc être réduit en conséquence. 10.4. L’intimé a fixé le revenu avec invalidité selon le tableau TA1_tirage_skill_level pour une femme, ligne total pour une activité de niveau 1, conformément à la jurisprudence constante, dont il n’y a pas lieu de s’éloigner, malgré les critiques faites à ce sujet. L’on ne se trouve pas dans un cas particulier qui justifierait de se référer aux salaires mensuels d’un secteur particulier. En effet, l’on ne peut considérer en l’espèce qu’une activité dans un autre domaine que les travaux ménagers n’entrerait pas en ligne de compte. L’intimé a appliqué à juste titre l’ESS 2016, qui est entrée en vigueur le 26 octobre 2018 et a été corrigée le 8 novembre 2018.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(ATF 135 V 297 consid. 5.2 p. 301 et les arrêts cités), et que le principe constitutionnel de l'égalité de traitement commande de recourir aux salaires statistiques ressortant de l'ESS, sans tenir compte de données salariales régionales, et à plus forte raison cantonales (arrêt 9C_535/2019 du 31 octobre 2019 consid. 4 et les arrêts cités). La recourante ne met en évidence aucun élément qui justifierait de s'écarter de cette jurisprudence constante (sur les conditions d'un changement de jurisprudence, ATF 144 V 72 consid. 5.3.2 p. 77). 10.5. La recourante a encore estimé que l’intimé aurait dû retenir une réduction du revenu avec invalidité de plus de 10%, en raison de sa nationalité nicaraguayenne et du fait qu’elle n’était titulaire que d’un permis B, ce qui prétéritait ses chances sur le marché de l’emploi. Compte tenu de l’ensemble des circonstances du cas concret, il convenait de procéder à une déduction globale de 25%. En l’espèce, seul le critère des limitations fonctionnelles entre en ligne de compte, de sorte que l’abattement retenu par l’intimé n’appelle pas la critique. 10.6. Dès lors que la recourante a un statut mixte, il y a lieu en principe d’établir ses empêchements dans les travaux ménagers sur la base d’une enquête ménagère, cette dernière n’apparaissant pas clairement comme inutile, au vu des limitations fonctionnelles de celle-ci et du fait qu’elle habite seule avec un jeune enfant. La cause devra en conséquence être renvoyée à l’intimé pour qu’il y fasse procéder, en s’assurant qu’il soit bien tenu compte des limitations fonctionnelles retenues par l’expert, à savoir une activité se passant essentiellement debout à piétiner sur place et/ou à marcher ainsi qu’à porter des charges plus ou lourdes, et non de ce que la recourante peut faire sans les respecter et au détriment de sa santé. Cela fait, l’intimé devra procéder à de nouveaux calculs pour établir le taux d’invalidité de la recourante. Il n’y a pas lieu de l’établir pour la période courant jusqu’au 31 décembre 2017, car le droit à une rente ne peut prendre naissance qu’un an après l’accident du 12 janvier 2017, soit dès janvier 2018 et six mois après le dépôt de la demande (le 18 août 2017), de sorte que le droit de la recourante à une rente est né le 1 er février 2018. L’intimé devra faire un premier calcul du taux d’invalidité dès le 1 er février 2018, date à laquelle la capacité de travail de la recourante était de 0% dans la part active de 60%. Il devra faire un second calcul dès juillet 2019, date à partir de laquelle la recourante était capable de travailler à 100% dans une activité adaptée. Le revenu sans invalidité à prendre en compte devra être établi en tenant compte des derniers revenus obtenus par la recourante, extrapolés pour la même activité lucrative exercée à plein temps, et le revenu avec invalidité sera fixé en tenant compte des revenus fixés sur la base des ESS à 60%, avec un abattement de 10%. 11.    11.1.1. La recourante a également conclu à des mesures d’ordre professionnel. Il était patent qu’elle subissait une perte de gain durable de 20% au moins et qu’elle avait droit à un reclassement professionnel. De plus, elle ne parvenait pas à trouver d’autres activités professionnelles que celles exercées avant son invalidité. Elle ne pouvait exercer les professions entrant en ligne de compte, comme celles dans l’horlogerie, la micromécanique, la couture ou la reliure sans bénéficier au préalable de mesures professionnelles. 11.1.2. Dans la décision querellée, l’intimé a estimé que des mesures professionnelles n’étaient pas indiquées dans la situation de la recourante. Au vu du large éventail d’activités non qualifiées que recouvraient les secteurs de la production et des services, il s’avérait qu’un nombre significatif de ces activités était adapté aux limitations fonctionnelles liées à son état de santé et ne nécessitant dès lors pas l’intervention de l’OA. La condition d’une perte de gain de 20% permettant d’obtenir un reclassement professionnel n’était pas remplie. Enfin, la recourante ne présentait pas de limitations spécifiques liées à son atteinte à la santé compromettant la recherche d’un emploi, ce qui ne lui ouvrait pas le droit à l’aide au placement. Au regard de son statut mixte et du temps dévolu au travail, des mesures professionnelles ne seraient pas de nature à réduire le dommage de manière conséquente et notable. 11.2.1. Selon l’art.17 LAI, la personne assurée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Une perte de gain de 20% environ ouvre en principe droit à une mesure de reclassement dans une nouvelle profession (ATF 124 V 108 consid. 2b et les arrêts cités). 11.2.2. S'agissant de l'orientation professionnelle, l'art. 15 LAI la subordonne à la condition que l'invalidité rende difficile le choix d'une profession ou l'exercice de l'activité antérieure. 11.2.3. Aux termes de l'art. 18 al. 1 LAI,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 11.3. En l'espèce, même si le taux d’invalidité finalement retenu était de plus 20%, dans la sphère professionnelle, la recourante ne pourrait se voir reconnaître un droit à un reclassement, dès lors qu’elle était sans formation avant la survenance de l’invalidité et qu’elle ne peut prétendre à une formation d’un niveau supérieur à celui de son ancienne activité. Le fait que l’expert ait préconisé un reclassement n’est pas déterminant, car cette question ne relève pas de sa compétence. S’agissant d’une orientation professionnelle, il y a lieu d'admettre, compte tenu des limitations fonctionnelles retenues, qu'il existe un nombre suffisamment large d’activités légères sur le marché du travail que la recourante peut assumer et il n'apparaît enfin pas qu’elle soit empêchée par son invalidité de faire le choix d'une nouvelle orientation dans une profession adaptée à son handicap. La recourante ne peut donc pas non plus se voir reconnaître le droit à une orientation professionnelle ni à une aide au placement. 12.    Au vu de ce qui précède, le recours sera partiellement admis, la décision annulée et la cause renvoyée à l’intimé pour instruction complémentaire et nouvelle décision au sens des considérants. La recourante obtenant gain de cause et étant assistée d’un conseil, une indemnité de CHF 2'000.-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