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A/4431/2016 vom 26. September 2017</w:t>
      </w:r>
    </w:p>
    <w:p>
      <w:r>
        <w:t>GE Cour de justice, 2017-09-26, FR</w:t>
      </w:r>
    </w:p>
    <w:p>
      <w:r>
        <w:rPr>
          <w:b/>
        </w:rPr>
        <w:t xml:space="preserve">Quelle: </w:t>
      </w:r>
      <w:r>
        <w:t>https://mcp.opencaselaw.ch/entscheid/ge_gerichte_A_4431_2016</w:t>
      </w:r>
    </w:p>
    <w:p>
      <w:r>
        <w:t>FR: GE_GERICHTE A/4431/2016 du 26 septembre 2017</w:t>
      </w:r>
    </w:p>
    <w:p>
      <w:r>
        <w:t>IT: GE_GERICHTE A/4431/2016 del 26 settembre 2017</w:t>
      </w:r>
    </w:p>
    <w:p>
      <w:pPr>
        <w:pStyle w:val="Heading2"/>
      </w:pPr>
      <w:r>
        <w:t>Erwägungen</w:t>
      </w:r>
    </w:p>
    <w:p>
      <w:r>
        <w:rPr>
          <w:b/>
        </w:rPr>
        <w:t>E. 1</w:t>
      </w:r>
    </w:p>
    <w:p>
      <w:r>
        <w:t>Les salariés auxquels un même employeur verse un salaire annuel supérieur à 18’990 francs sont soumis à l’assurance obligatoire pour les risques de décès et d’invalidité dès le 1 er janvier qui suit la date à laquelle ils ont eu 17 ans et, pour la vieillesse, dès le 1 er janvier qui suit la date à laquelle ils ont eu 24 ans.</w:t>
      </w:r>
    </w:p>
    <w:p>
      <w:r>
        <w:rPr>
          <w:b/>
        </w:rPr>
        <w:t>E. 2</w:t>
      </w:r>
    </w:p>
    <w:p>
      <w:r>
        <w:t>Il vire trimestriellement ces cotisations sous forme d’acomptes au bureau de la Fondation RF échafaudage. Le décompte final des cotisations perçues a lieu à la fin de l’année civile ou au moment où l’employeur se retire de la Fondation RF échafaudage, une fois les attestations de salaires adressées conformément à l’article 4, al. 3 ou 5.</w:t>
      </w:r>
    </w:p>
    <w:p>
      <w:r>
        <w:rPr>
          <w:b/>
        </w:rPr>
        <w:t>E. 3</w:t>
      </w:r>
    </w:p>
    <w:p>
      <w:r>
        <w:t>L’intérêt de retard pour le paiement des cotisations dues se monte au minimum à 5%. Le Conseil de fondation peut adapter une fois par année le montant de cet intérêt de retard ».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(ATF 127 V 390 consid. 5e/bb et les références), dans la mesure où un taux d’intérêt plus élevé n’a pas été convenu par contrat (art. 104 al. 1 et 2 CO). Selon l’art. 105 al. 3 CO, des intérêts ne peuvent être portés en compte pour cause de retard dans les intérêts moratoires (RSAS 2003 p. 500 consid. 6.1 ; ATFA du 26 août 2004 en la cause B 106/03). L'art. 9 al. 4 du règlement RA prévoit un intérêt moratoire de 5% dès l'exigibilité. En conséquence, il convient de faire application de ce taux dès la mise en demeure de l’employeur et l’exigibilité de l’obligation. 7.        Du fait de son assujettissement à la CCT RA échafaudage, la société est tenue de s'acquitter auprès de la Fondation des cotisations, parts salariale et employeur, conformément aux dispositions du règlement RA, ainsi que des intérêts moratoires (art. 9 al. 4 du règlement RA).![endif]&gt;![if&gt; 8.        En l’espèce, la Fondation a réclamé à la société le paiement de la somme de CHF 49'938.25 dans sa demande du 22 décembre 2016, selon un décompte du 3 novembre 2016, puis de CHF 56'687.23 dans ses écritures du 20 avril 2017, selon un décompte du 18 avril 2017. ![endif]&gt;![if&gt; Bien qu’elle ait été invitée à se déterminer sur ces montants, la société ne s’est pas manifestée. Or, selon l’art. 22 LPA, applicable en l’espèce (art. 1 er cum 6 al. 1 er let. b LPA), les parties sont tenues de collaborer à la constatation des faits dans les procédures qu’elles introduisent elles-mêmes, dans celles où elles y prennent des conclusions indépendantes, ainsi que dans les autres cas prévus par la loi. La chambre de céans relève que le décompte du 18 avril 2017 est identique à celui du 3 novembre 2016, mais tient compte en plus du premier acompte contributions 2017. Elle constate également que la Fondation a retenu le chiffre de CHF 49'938.25, en déduisant CHF 93'632.42 de CHF 143'570.65. Or, le total encore dû par la société pour les années 2014 à 2016 est en réalité de CHF 48'069.60. En effet, doivent être pris en compte : décompte 2014 : CHF 22'076.60 (42'323.60 – [3 x 6'749]) décompte 2015 : CHF 8'922.10 (29'169.10 – [3 x 6'749]) décompte 2016 : CHF 16'873.- ([3 x 6'749] - 3'374) Total : CHF 47'871.70 + frais CHF 100.60 CHF 97.30 CHF 48'069.60 Lorsqu’elle réclame finalement le paiement de la somme de CHF 56'687.23 dans ses écritures du 20 avril 2017, la Fondation ajoute à sa prétention initiale de CHF 49'938.25 le premier acompte de la contribution 2017. Il convient ainsi de fixer le montant dû par la société pour les cotisations et contributions 2014 - 2015 - 2016 à CHF 48'069.60 – et non à CHF 56'687.23 comme demandé. Il n’y a à cet égard pas lieu d’ajouter le premier acompte 2017, celui-ci n’étant pas encore échu au moment de la demande. Au vu de ce qui précède, la demande en paiement est partiellement admise, étant rappelé que la société n’a contesté ni son assujettissement, ni le montant réclamé. Il est à noter, à cet égard, que la simple passivité du débiteur ne saurait empêcher la demanderesse d’engager et de continuer des procédures de recouvrement afin d’obtenir reconnaissance de ses droits (cf. ATA J. du 5 septembre 1995). Il y a ainsi lieu de condamner la société à payer la somme de CHF 48'069.60, majorée d’un intérêt de 5%, dès sa mise en demeure, soit dès le 7 novembre 2016. 9.        La mainlevée définitive de l’opposition est par ailleurs prononcée à concurrence de la somme de CHF 7'028.80 (poursuite n° 16 215172 M), laquelle correspond au troisième acompte contributions 2015 de CHF 6'749.- - déduction faite d’un versement de la société de CHF 637.40 -, frais et intérêts au 15 septembre 2016 y compris.![endif]&gt;![if&gt; La chambre des assurances sociales statuant en dernière instance cantonale et dans l'accomplissement de tâches de droit public peut en effet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10.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![endif]&gt;![if&gt; En l’espèce, la chambre de céans constate que l’attitude de la société doit effectivement être qualifiée de légère, dans la mesure où elle n’a pas réagi aux rappels et sommations de la demanderesse, pas plus qu’elle ne s’est manifestée devant la chambre de céans. Bien que n’ayant pas contesté la créance de la Fondation à son encontre, la société n’a pas manifesté la volonté de s’acquitter des contributions encore dues. Au vu de ces circonstances, il y a lieu de la condamner aux dépens.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