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A/4430/2016 vom 19. September 2017</w:t>
      </w:r>
    </w:p>
    <w:p>
      <w:r>
        <w:t>GE Cour de justice, 2017-09-19, FR</w:t>
      </w:r>
    </w:p>
    <w:p>
      <w:r>
        <w:rPr>
          <w:b/>
        </w:rPr>
        <w:t xml:space="preserve">Quelle: </w:t>
      </w:r>
      <w:r>
        <w:t>https://mcp.opencaselaw.ch/entscheid/ge_gerichte_A_4430_2016</w:t>
      </w:r>
    </w:p>
    <w:p>
      <w:r>
        <w:t>FR: GE_GERICHTE A/4430/2016 du 19 septembre 2017</w:t>
      </w:r>
    </w:p>
    <w:p>
      <w:r>
        <w:t>IT: GE_GERICHTE A/4430/2016 del 19 settembre 2017</w:t>
      </w:r>
    </w:p>
    <w:p>
      <w:pPr>
        <w:pStyle w:val="Heading2"/>
      </w:pPr>
      <w:r>
        <w:t>Volltext</w:t>
      </w:r>
    </w:p>
    <w:p>
      <w:r>
        <w:t>Genève Cour de justice (Cour de droit public) Chambre des assurances sociales 19.09.2017 A/4430/2016</w:t>
      </w:r>
    </w:p>
    <w:p>
      <w:r>
        <w:t>A/4430/2016 ATAS/801/2017 du 19.09.2017 ( LPP ) , SANS OBJET rÉpublique et canton de genÈve POUVOIR JUDICIAIRE A/4430/2016 ATAS/801/2017 COUR DE JUSTICE Chambre des assurances sociales Arrêt du 19 septembre 2017 1 ère Chambre En la cause FONDATION RETRAITE FLEXIBLE (RF) DANS LA BRANCHE DE L'ÉCHAFAUDAGE, sise c/o ENGEL COPERA AG, Waldeggstrasse 37, BERN ZUSTELLUNG, comparant avec élection de domicile en l'étude de Maître Philippe NORDMANN demanderesse contre A______ SA, sise à SATIGNY défenderesse Attendu en fait que par courrier du 22 décembre 2016, la FONDATION RETRAITE FLEXIBLE (RF) DANS LA BRANCHE DE L'ÉCHAFAUDAGE (ci-après la Fondation) a, par l’intermédiaire de son mandataire, saisi la chambre de céans d’une demande visant à la condamnation de A______ SA (ci-après la société), liée en tant qu’entreprise suisse d’échafaudages par la convention collective de travail pour la retraite anticipée des échafaudeurs, au paiement de la somme de CHF 66'917.80 avec intérêts à 5% l’an dès le 1 er octobre 2016, représentant le solde des contributions dues au 7 novembre 2016 ; Que la société s’est déterminée le 23 janvier 2017 ; Que par courrier du 6 février 2017, la Fondation a informé la chambre de céans qu’un plan de paiement s’étendant jusqu’à mai 2017 avait été convenu avec la société ; Que le 12 septembre 2017, la Fondation a confirmé que le plan de règlement avait été finalement respecté, de sorte que l’action était devenue sans objet ; qu’elle a par ailleurs sollicité l’octroi de dépens qu’elle estime devoir être fixés à CHF 1'500.- ; Que ce courrier a été transmis à la société et la cause gardée à juger ; Considérant en droit que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 Que sa compétence pour juger du cas d’espèce est ainsi établie ; Qu'il y a lieu de constater, sur la base du courrier de la Fondation du 12 septembre 2017, que la demande du 22 décembre 2016 est devenue sans objet ; Qu'il convient dès lors de rayer la présente cause du rôle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l’autorité cantonale chargée de fixer l’indemnité de dépens jouit d’un large pouvoir d’appréciation (ATF 111 V 49 consid. 4a) ; qu’elle en détermine le montant en fonction du nombre d’échanges d’écritures, de l’importance et de la pertinence des écritures, de la complexité de l’affaire et du nombre d’audiences et d’actes d’instruction (cf. GRISEL, Traité de droit administratif, p. 848) ; Que pour apprécier l’importance du travail et du temps consacré à la cause, il faut tenir compte du fait que le procès en matière d’assurance sociale est gouverné par la maxime inquisitoire, ce qui, dans de nombreux cas, est de nature à faciliter la tâche du mandataire ; que quant à l’activité de celui-ci, elle ne doit être prise en considération que dans la mesure où elle s’inscrit raisonnablement dans le cadre de l’accomplissement de sa tâche, à l’exclusion des démarches inutiles ou superflues ; qu’en outre, les démarches que le mandataire a entreprises avant l’ouverture de la procédure n’entrent pas en ligne de compte pour déterminer le montant des honoraires ; qu’on tiendra compte, dans ce contexte, des conséquences économiques qu’aura pour l’intéressé l’issue de la procédure (ATF 114 V 87 consid. 4 ; arrêt du Tribunal fédéral des assurances I 699/04 du 23 janvier 2006 consid. 2) ; Que la chambre de céans retiendra en l’occurrence un montant de CHF 800.-. PAR CES MOTIFS, LA CHAMBRE DES ASSURANCES SOCIALES : 1.        Constate que la demande du 22 décembre 2016 est devenue sans objet.![endif]&gt;![if&gt; 2.        Condamne la défenderesse à verser à la demanderesse la somme de CHF 800.- à titre de dépens.![endif]&gt;![if&gt;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