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A/4422/2005 vom 3. Oktober 2006</w:t>
      </w:r>
    </w:p>
    <w:p>
      <w:r>
        <w:t>GE Cour de justice, 2006-10-03, FR</w:t>
      </w:r>
    </w:p>
    <w:p>
      <w:r>
        <w:rPr>
          <w:b/>
        </w:rPr>
        <w:t xml:space="preserve">Quelle: </w:t>
      </w:r>
      <w:r>
        <w:t>https://mcp.opencaselaw.ch/entscheid/ge_gerichte_A_4422_2005</w:t>
      </w:r>
    </w:p>
    <w:p>
      <w:r>
        <w:t>FR: GE_GERICHTE A/4422/2005 du 3 octobre 2006</w:t>
      </w:r>
    </w:p>
    <w:p>
      <w:r>
        <w:t>IT: GE_GERICHTE A/4422/2005 del 3 ottobre 2006</w:t>
      </w:r>
    </w:p>
    <w:p>
      <w:pPr>
        <w:pStyle w:val="Heading2"/>
      </w:pPr>
      <w:r>
        <w:t>Regeste</w:t>
      </w:r>
    </w:p>
    <w:p>
      <w:r>
        <w:t>; LOI SUR LE CONTRAT D'ASSURANCE ; VIOLATION DE L'OBLIGATION D'ANNONCER ; ATTEINTE À LA SANTÉ ; MALADIE ; INDEMNITÉ JOURNALIÈRE ; PRESTATION D'ASSURANCE(EN GÉNÉRAL) | LCA4</w:t>
      </w:r>
    </w:p>
    <w:p>
      <w:pPr>
        <w:pStyle w:val="Heading2"/>
      </w:pPr>
      <w:r>
        <w:t>Erwägungen</w:t>
      </w:r>
    </w:p>
    <w:p>
      <w:r>
        <w:rPr>
          <w:b/>
        </w:rPr>
        <w:t>E. 3</w:t>
      </w:r>
    </w:p>
    <w:p>
      <w:r>
        <w:t>La LCA a subi des modifications en vigueur depuis le 1 er janvier 2006.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soit avant l'entrée en vigueur au 1 er janvier 2006 des nouvelles dispositions de la LCA.</w:t>
      </w:r>
    </w:p>
    <w:p>
      <w:r>
        <w:rPr>
          <w:b/>
        </w:rPr>
        <w:t>E. 4</w:t>
      </w:r>
    </w:p>
    <w:p>
      <w:r>
        <w:t>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Les faits visés à l'art. 4 LCA sont tous les éléments qui doivent être pris en considération lors de l'appréciation du risque et qui peuvent éclairer l'assureur sur l'étendue du risque à couvrir, à savoir toutes les circonstances permettant de conclure à l'existence de facteurs de risque (ATF 118 II 333 consid. 2a p. 336 et les arrêts cités). En d'autres termes, il s'agit de tous les faits qui sont de nature à influencer, dans le cas particulier, la survenance, l'intensité et l'importance du risque, c'est-à-dire non seulement les faits qui font naître le risque, mais aussi tous ceux qui permettent de conclure rétrospectivement à l'existence d'un risque (NEF, Basler Kommentar, Bundesgesetz über den Versicherungsvertrag (VVG), n° 12 ad art. 4 LCA). L'assuré n'a une obligation de déclaration qu'en relation avec un questionnaire ou d'autres questions écrites de l'assureur (art. 4 al. 1 LCA). Il doit déclarer les faits qui lui sont connus ou doivent lui être connus lors de la conclusion du contrat (art. 4 al. 1 in fine LCA). Selon la jurisprudence, il ne faut adopter ni un critère purement subjectif, ni un critère purement objectif pour juger si le proposant a violé ou non son obligation de renseigner, laquelle s'apprécie au demeurant sans égard à une éventuelle faute du preneur.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Il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118 II 333 consid. 2b p. 237 et les arrêts cités; NEF, op. cit., n° 26 ad art. 4 LCA). Celui qui tait des indispositions sporadiques qu'il pouvait raisonnablement de bonne foi considérer sans importance pour l'évaluation du risque et passagères, sans devoir les tenir pour une cause de rechute ou de symptômes d'une maladie imminente aiguë, ne viole pas son devoir de renseigner (ATF 116 II 338 consid. 1b p. 340 et les références). Pour décider si une question posée par l'assureur est précise et non équivoque au sens de l'art. 4 al. 3 LCA, il y a lieu de l'interpréter selon le principe de la confiance (ATF 101 II 339 consid. 2b p. 344; 116 II 338 ). Si une telle question a été posée, le fait sur lequel elle porte est réputé important (art. 4 al. 3 LCA). L'assuré peut toutefois renverser cette présomption en apportant la preuve que l'assureur aurait néanmoins conclu le contrat aux conditions prévues s'il avait connu le fait omis ou indiqué d'une façon inexacte (ATF 92 II 342 consid. 5 p. 352). En d'autres termes, il doit établir que la fausse ou inexacte déclaration de ce fait n'aurait pas eu d'influence sur la détermination de l'assureur de conclure le contrat ou de le conclure aux conditions convenues (art. 4 al. 2 LCA; NEF, op. cit., n° 56 ad art. 4 LCA).</w:t>
      </w:r>
    </w:p>
    <w:p>
      <w:r>
        <w:rPr>
          <w:b/>
        </w:rPr>
        <w:t>E. 5</w:t>
      </w:r>
    </w:p>
    <w:p>
      <w:r>
        <w:t>En l'occurrence, la première question posée dans le formulaire par la défenderesse est formulée de la manière suivante : "Souffrez-vous ou avez-vous souffert d'une maladie grave telle que des maladies de la moelle épinière ou des nerfs, crises d'épilepsie, tuberculose, goutte, rhumatismes, diabète, affections cardiaques et troubles respiratoires, affections de la colonne vertébrale, maladies psychiques ?". Il ne fait nul doute que la mention à des affections de la colonne vertébrale a trait à des affections du dos et que les lombalgies dont a souffert le demandeur tombent sous le coup de cette dénomination. Reste par conséquent à déterminer comment interpréter les termes de "maladie grave". A cet égard, le contrat s'interprète selon le principe de la confiance. Il convient dès lors de se demander comment une personne non spécialisée dans le domaine de la médecine peut comprendre cette expression. S'agissant des lombalgies du demandeur, les deux médecins spécialistes consultés les ont qualifiées de syndrome vertébral très discret et de lombalgies permanentes, modérées au repos mais exacerbées à tout effort. Rien dans ces qualificatifs ne permettait au demandeur de considérer ses affections dorsales comme graves. En termes de diagnostic, elles constituent en effet des atteintes bénignes que le demandeur n'avait pas, de bonne foi, à annoncer à l'assurance. En effet, il convient de relever ici que les questions posées par l'assurance au preneur d'assurance ne portaient ni sur l'existence de maladies antérieures ou actuelles ni sur d'éventuelles incapacités de travail subies, mais sur l'existence de maladies graves antérieures ou actuelles. Les questions de l'assurance étaient donc très restrictives et précises et n'appelaient que des réponses relatives à l'existence de maladies graves, à l'exclusion des autres affections, sans gravité en termes de diagnostic. Le demandeur n'avait dans ces conditions ni à déclarer ses incapacités de travail ni les affections dont le diagnostic ne constituait pas une maladie grave. Quant à l'hypoacousie du demandeur, on ne voit pas qu'elle puisse constituer une grave infirmité. En effet, le déficit modeste de transition à droite ne justifiant pas de correction chirurgicale et compensé par l'excellente audition à gauche ne saurait être qualifié d'infirmité et le demandeur pouvait de bonne foi considérer cette affection bénigne, qui n'a requis aucun traitement, comme sans importance pour l'évaluation du risque. Dès lors il convient de constater au vu des questions de l'assurance ne portant que sur l'existence de graves maladies ou de graves infirmités que le demandeur n'a commis aucune réticence. Partant, la défenderesse n'avait pas le droit de se départir du contrat d'assurance, qui continue dès lors à déployer ses effets. Le demandeur, présentant toujours une incapacité de travail suite à l'accident du 10 août 2003, a ainsi droit à ce que des indemnités journalières lui soient versées conformément au contrat conclu entre les parties.</w:t>
      </w:r>
    </w:p>
    <w:p>
      <w:r>
        <w:rPr>
          <w:b/>
        </w:rPr>
        <w:t>E. 6</w:t>
      </w:r>
    </w:p>
    <w:p>
      <w:r>
        <w:t>Au vu de ce qui précède, force de constater que la demande, bien fondée, doit être admise et le demandeur, qui obtient gain de cause, aura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