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A/4420/2015 vom 15. März 2016</w:t>
      </w:r>
    </w:p>
    <w:p>
      <w:r>
        <w:t>GE Cour de justice, 2016-03-15, FR</w:t>
      </w:r>
    </w:p>
    <w:p>
      <w:r>
        <w:rPr>
          <w:b/>
        </w:rPr>
        <w:t xml:space="preserve">Quelle: </w:t>
      </w:r>
      <w:r>
        <w:t>https://mcp.opencaselaw.ch/entscheid/ge_gerichte_A_4420_2015</w:t>
      </w:r>
    </w:p>
    <w:p>
      <w:r>
        <w:t>FR: GE_GERICHTE A/4420/2015 du 15 mars 2016</w:t>
      </w:r>
    </w:p>
    <w:p>
      <w:r>
        <w:t>IT: GE_GERICHTE A/4420/2015 del 15 marzo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partie générale du CP ainsi que l'art. 6 de la loi fédérale du 22 mars 1974 sur le droit pénal administratif sont applicables.</w:t>
      </w:r>
    </w:p>
    <w:p>
      <w:r>
        <w:rPr>
          <w:b/>
        </w:rPr>
        <w:t>E. 2</w:t>
      </w:r>
    </w:p>
    <w:p>
      <w:r>
        <w:t>La poursuite pénale incombe aux cantons ». 8.        Il appartenait à l'assuré, conformément à l'art. 78 al. 2 LPGA, de soumettre préalablement sa demande à la Caisse en vue de la prise d’une décision sur ce point. Sa demande est dès lors irrecevable. Elle échappe quoi qu'il en soit à la compétence de la chambre de céans.![endif]&gt;![if&gt;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