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A/441/2022 vom 18. April 2023</w:t>
      </w:r>
    </w:p>
    <w:p>
      <w:r>
        <w:t>GE Cour de justice, 2023-04-18, FR</w:t>
      </w:r>
    </w:p>
    <w:p>
      <w:r>
        <w:rPr>
          <w:b/>
        </w:rPr>
        <w:t xml:space="preserve">Quelle: </w:t>
      </w:r>
      <w:r>
        <w:t>https://mcp.opencaselaw.ch/entscheid/ge_gerichte_A_441_2022</w:t>
      </w:r>
    </w:p>
    <w:p>
      <w:r>
        <w:t>FR: GE_GERICHTE A/441/2022 du 18 avril 2023</w:t>
      </w:r>
    </w:p>
    <w:p>
      <w:r>
        <w:t>IT: GE_GERICHTE A/441/2022 del 18 aprile 2023</w:t>
      </w:r>
    </w:p>
    <w:p>
      <w:pPr>
        <w:pStyle w:val="Heading2"/>
      </w:pPr>
      <w:r>
        <w:t>Erwägungen</w:t>
      </w:r>
    </w:p>
    <w:p>
      <w:r>
        <w:rPr>
          <w:b/>
        </w:rPr>
        <w:t>E. 2</w:t>
      </w:r>
    </w:p>
    <w:p>
      <w:r>
        <w:t>Le recourant soutient qu’il remplit les conditions permettant l’octroi d’une autorisation de séjour pour cas d’extrême gravité, tels que prévus par l’« opération Papyrus ».![endif]&gt;![if&gt;</w:t>
      </w:r>
    </w:p>
    <w:p>
      <w:r>
        <w:rPr>
          <w:b/>
        </w:rPr>
        <w:t>E. 2.1</w:t>
      </w:r>
    </w:p>
    <w:p>
      <w:r>
        <w:t>Le 1 er janvier 2019 est entrée en vigueur une modification de la LEI et de l’OASA. Conformément à l'art. 126 al. 1 LEI, les demandes déposées, comme en l’espèce, avant le 1 er janvier 2019 sont régies par l’ancien droit.![endif]&gt;![if&gt;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2.5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5.2).![endif]&gt;![if&gt;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2.6</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2.7</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w:t>
      </w:r>
    </w:p>
    <w:p>
      <w:r>
        <w:rPr>
          <w:b/>
        </w:rPr>
        <w:t>E. 2.8</w:t>
      </w:r>
    </w:p>
    <w:p>
      <w:r>
        <w:t>L’examen de la proportionnalité de la mesure, imposé par l’art. 96 LEI, se confond avec celui qui est prévu à l’art. 8 § 2 CEDH (ATF 139 I 31 consid. 2.3.2 ; 139 I 145 consid. 2.2).![endif]&gt;![if&gt;</w:t>
      </w:r>
    </w:p>
    <w:p>
      <w:r>
        <w:rPr>
          <w:b/>
        </w:rPr>
        <w:t>E. 2.9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2.10</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2.11</w:t>
      </w:r>
    </w:p>
    <w:p>
      <w:r>
        <w:t>En l’espèce, le recourant soutient séjourner en Suisse depuis 2007. Or, comme l’a constaté le TAPI à juste titre, le séjour du recourant depuis cette date n’est nullement établi. L'attestation de domicile délivrée en 2015 par le maire d'Annemasse précise qu'il était domicilié dans cette ville depuis 2010, ses demandes d'autorisation de travail en tant que frontalier, en 2013 et 2015, ses contrats de travail conclus avec K______ et L______ et les fiches de salaires y relatives qui mentionnent toutes comme domicile son adresse à Annemasse (de 2013 à fin 2015), puis à Collonges-sous-Salève (dès janvier 2016). Il en va de même de son affiliation au syndicats Q______ en 2016. Le fait de travailler et cotiser aux assurances sociales n’établit nullement un domicile en Suisse. Sa fille est née en France en 2016. Ces éléments ne sauraient être contrebalancés par l’attestation contraire du frère du recourant, dont le lien de parenté ne permet pas d’accorder une valeur probante élevée à cet écrit. Enfin, le recourant a déclaré le 18 mars 2018 à la police qu’il n’habitait que depuis six mois en Suisse.![endif]&gt;![if&gt; En outre, la durée du séjour du recourant doit être relativisée au regard du fait qu’elle a été intégralement effectuée dans l’illégalité. Le recourant en était conscient, dès lors que sa demande d’autorisation de séjour avait été refusée le 7 juillet 2008 par le SEM déjà. Toutes les demandes effectuées en vue d’obtenir une autorisation de travail ont également été refusées. Compte tenu du fait que son séjour s’est essentiellement déroulé dans l’illégalité, il ne saurait non plus se plaindre d’une violation de l’art. 8 CEDH, comme exposé ci-dessus (consid. 2.7). À cet égard, il est relevé que ni sa compagne ni ses deux enfants ne bénéficient d’un titre de séjour en Suisse, de sorte que le refus d’accorder au recourant un titre de séjour ne contrevient pas à l’art. 8 CEDH. Par ailleurs, quand bien même il conviendrait de tenir compte d’une durée de séjour en Suisse depuis 2007, le recourant ne remplirait pas les conditions permettant de retenir l’existence d’un cas de rigueur. En effet, celui-ci ne peut se prévaloir d’une intégration sociale remarquable. Certes, il est financièrement indépendant, ne fait pas l'objet de poursuites et suit des cours en vue d’obtenir une attestation de maîtrise de la langue française au niveau A2. Outre sa relation sentimentale avec sa compagne et leurs deux enfants, il n’allègue, cependant, pas qu’il aurait noué à Genève des liens affectifs ou amicaux d’une intensité telle qu’il ne pourrait les poursuivre par le biais de moyens de télécommunication modernes une fois de retour au Kosovo. Par ailleurs, il a été condamné pour incitation à l'entrée, à la sortie et au séjour illégal en 2018. Il ne peut donc se targuer d’une intégration sociale réussie. Son activité professionnelle dans le domaine du transport et du nettoyage ne présente pas non plus un degré de réussite tel qu’il ne pourrait être exigé de sa part de la poursuivre dans son pays d’origine. Au contraire, il apparaît que le recourant pourra, en cas de retour dans son pays, mettre à profit l’expérience professionnelle et les connaissances acquises de la langue française acquises durant son séjour en Suisse. En outre, il ressort du dossier qu’il s’est régulièrement rendu dans son pays d’origine avec lequel il a conservé des attaches. Il connaît donc les us et coutumes de son pays et en parle la langue. Comme l’a relevé l’OCPM, s’il est possible que le statut non marié du recourant et de sa compagne heurte la sensibilité de certains de ses compatriotes, il n’est pas rendu vraisemblable qu’il exposerait le recourant et sa famille à des difficultés insurmontables, comme le démontre le fait que la famille s’est rendue en avril et juin 2021 ensemble au Kosovo. Le recourant est encore relativement jeune et en bonne santé. Ayant selon ses indications vécu au Kosovo jusqu’en 2007, il y a passé son enfance, son adolescence et le début de sa vie d’adulte. Ainsi, quand bien même après le nombre d’années passées à l’étranger, le recourant traversera à son retour dans son pays une nécessaire phase de réadaptation, sa réintégration socio-professionnelle ne parait pas gravement compromise. Au vu de l’ensemble de ces éléments, l’OCPM n’a pas violé le droit ni abusé de son pouvoir d’appréciation en retenant que le recourant ne remplissait pas les conditions restrictives permettant l’octroi d’une autorisation de séjour pour cas de rigueur.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w:t>
      </w:r>
    </w:p>
    <w:p>
      <w:r>
        <w:rPr>
          <w:b/>
        </w:rPr>
        <w:t>E. 3</w:t>
      </w:r>
    </w:p>
    <w:p>
      <w:r>
        <w:t>Il convient encore d’examiner si le renvoi prononcé par l’OCPM est fondé.![endif]&gt;![if&gt;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3.2</w:t>
      </w:r>
    </w:p>
    <w:p>
      <w:r>
        <w:t>En l'espèce, dès lors qu'il a, à juste titre, refusé l’octroi d’une autorisation de séjour au recourant, l'intimé devait prononcer son renvoi. Le recourant soutient qu’un mariage coutumier au Kosovo serait impossible et que le mariage civil ne serait pas susceptible de « réparer le déshonneur » subi par sa compagne. Comme exposé ci-dessus, il ne rend toutefois pas vraisemblable qu’en cas de retour dans son pays, sa compagne, ses enfants et lui seraient concrètement rejetés en tant que parents non mariés ou qu’ils risqueraient de subir des traitements inhumains et dégradants en raison de leur relation hors mariage. Il n’explique d’ailleurs pas quel motif s’opposerait à s’installer près de sa propre famille, à qui selon ses indications du recourant ils avaient pu rendre visite sans problème. La question de savoir si E______ peut accéder au Kosovo aux soins dont elle a besoin sera examinée dans le recours la concernant. Enfin, le recourant a commencé une formation alors qu’une décision de renvoi venait d’être prononcée à son encontre. Il a ainsi pris le risque que si son recours n’était pas admis, il doive l’interrompre en raison de son départ de Suisse.![endif]&gt;![if&gt; Au vu de ce qui précède, aucun motif ne permet de retenir que le renvoi du recourant ne serait pas possible, licite ou ne pourrait raisonnablement être exigé. Mal fondé, le recours sera rejeté.</w:t>
      </w:r>
    </w:p>
    <w:p>
      <w:r>
        <w:rPr>
          <w:b/>
        </w:rPr>
        <w:t>E. 4</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