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A/4415/2022 vom 12. Dezember 2023</w:t>
      </w:r>
    </w:p>
    <w:p>
      <w:r>
        <w:t>GE Cour de justice, 2023-12-12, FR</w:t>
      </w:r>
    </w:p>
    <w:p>
      <w:r>
        <w:rPr>
          <w:b/>
        </w:rPr>
        <w:t xml:space="preserve">Quelle: </w:t>
      </w:r>
      <w:r>
        <w:t>https://mcp.opencaselaw.ch/entscheid/ge_gerichte_A_4415_2022</w:t>
      </w:r>
    </w:p>
    <w:p>
      <w:r>
        <w:t>FR: GE_GERICHTE A/4415/2022 du 12 décembre 2023</w:t>
      </w:r>
    </w:p>
    <w:p>
      <w:r>
        <w:t>IT: GE_GERICHTE A/4415/2022 del 12 dicembre 2023</w:t>
      </w:r>
    </w:p>
    <w:p>
      <w:pPr>
        <w:pStyle w:val="Heading2"/>
      </w:pPr>
      <w:r>
        <w:t>Erwägungen</w:t>
      </w:r>
    </w:p>
    <w:p>
      <w:r>
        <w:rPr>
          <w:b/>
        </w:rPr>
        <w:t>E. 11</w:t>
      </w:r>
    </w:p>
    <w:p>
      <w:r>
        <w:t>Les intimés soutiennent que l'ordre d'établir une formule officielle et de rembourser aux anciens locataires le trop-perçu du loyer violerait le principe de la légalité. La conséquence du blocage rétroactif du loyer visant à rembourser le trop-perçu constituerait une condamnation de nature civile non prévue par la LDTR ni par la LCI. La chambre administrative aurait interprété de façon très extensive l'art. 129 let. e LCI, en ce sens que la remise en état couvrirait aussi l'obligation de rembourser les loyers trop perçus. ![endif]&gt;![if&gt;</w:t>
      </w:r>
    </w:p>
    <w:p>
      <w:r>
        <w:rPr>
          <w:b/>
        </w:rPr>
        <w:t>E. 11.1</w:t>
      </w:r>
    </w:p>
    <w:p>
      <w:r>
        <w:t>Celui qui contrevient aux dispositions de LDTR est passible des mesures et des sanctions administratives prévues par les art. 129 à 139 LCI et des peines plus élevées prévues par le code pénal suisse, du 21 décembre 1937 (art. 44 al. 1 LDTR). ![endif]&gt;![if&gt; Parmi les mesures administratives à disposition de l’autorité compétente figure l’ordre de remise en conformité (art. 129 let. e LCI). L’objectif d’une telle mesure est de rétablir une situation conforme au droit ( ATA/185/2021 précité consid. 5f). Selon la jurisprudence constante de la chambre de céans, une mesure visant les loyers, notamment le remboursement du trop-perçu de loyer et l'établissement d'un nouveau bail conforme aux conditions de l'autorisation de construire accordée, constitue une forme de remise en état au sens de l'art. 129 let. e LCI ( ATA/185/2021 précité consid. 5f et les arrêts cités ; ATA/531/2012 du 21 août 2012 consid. 7b confirmé par l'arrêt du Tribunal fédéral 1C_496/2012 du 12 février 2013). Le Tribunal fédéral a confirmé la conformité au droit de la jurisprudence précitée. Selon lui,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doive elle-même être expressément mentionnée dans la loi (ATF 111 Ib 213 consid. 6c p. 226; 105 Ib 272 consid. 1c p. 276 et les arrêts cités ; arrêt du Tribunal fédéral 1P.55/2000 du 13 avril 2000 et les références citées). La répétition de l'indu (art. 63 al. 1 CO par analogie) fait par ailleurs partie des principes généraux du droit administratif, applicable sans base légale expresse. Dès lors, la restitution de loyers perçus en trop ordonnée par le département ne viole pas le principe de la légalité (arrêt du Tribunal fédéral 1C_250/2010 du 26 août 2010 consid. 3.2 et la référence).</w:t>
      </w:r>
    </w:p>
    <w:p>
      <w:r>
        <w:rPr>
          <w:b/>
        </w:rPr>
        <w:t>E. 11.2</w:t>
      </w:r>
    </w:p>
    <w:p>
      <w:r>
        <w:t>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(arrêts du Tribunal fédéral 1C_184/2013 du 8 janvier 2014 consid. 2.1 ; 1C_496/2012 du 12 février 2013 consid. 3.2.1 ; ATA/260/2014 du 15 avril 2014 consid. 11a et les autres arrêts cités). ![endif]&gt;![if&gt; Le blocage du loyer peut porter rétroactivement sur la période entre la fin des travaux exécutés illicitement et, en soi, l'entrée en force de l'autorisation de construire obtenue après coup, avec obligation de rembourser le trop-perçu au locataire ( ATA/185/2021 précité consid. 5g et la référence citée).</w:t>
      </w:r>
    </w:p>
    <w:p>
      <w:r>
        <w:rPr>
          <w:b/>
        </w:rPr>
        <w:t>E. 11.3</w:t>
      </w:r>
    </w:p>
    <w:p>
      <w:r>
        <w:t>S'agissant des locataires ayant déjà quitté l'appartement incriminé et qui ont versé un loyer supérieur à celui bloqué après coup, il n'y a pas lieu d'imposer au propriétaire d'établir un nouveau bail corrigé. En revanche, le département est en droit d'ordonner au propriétaire de rembourser le trop-perçu de loyer à ces locataires, l'obligation de restituer le loyer ne valant que pour la durée du contrôle étatique instaurée par la LDTR ( ATA/185/2021 précité consid. 5g et les références citées).![endif]&gt;![if&gt; La chambre de céans considère que, s'il ne peut être ordonné au bailleur d'établir un nouveau contrat de bail corrigé pour des locataires ayant quitté le logement, la solution est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 ATA/185/2021 précité consid. 5g ; ATA/1343/2020 du 22 décembre 2020 consid. 3f et 4).</w:t>
      </w:r>
    </w:p>
    <w:p>
      <w:r>
        <w:rPr>
          <w:b/>
        </w:rPr>
        <w:t>E. 11.4</w:t>
      </w:r>
    </w:p>
    <w:p>
      <w:r>
        <w:t>En l'occurrence, il est établi que les travaux litigieux étaient soumis à autorisation et que le loyer aurait dû être bloqué en conséquence pendant une période de trois ans après leur exécution.![endif]&gt;![if&gt; L'ordre adressé aux intimés d'établir un nouvel avis de fixation du loyer initial et de rembourser le trop-perçu aux anciens locataires est fondé sur ce constat et a pour objectif de rétablir une situation conforme au droit. Au vu de la jurisprudence précitée, cette double mesure, qui découle par ailleurs des art. 10 al. 1, 12 et 14 al. 1 LDTR et du principe général de la répétition de l'indu, est en tous points conforme au principe de la légalité. Il n'y a pas lieu de s'écarter de cette jurisprudence confirmée par la chambre de céans à de nombreuses reprises et par le Tribunal fédéral, faute d'éléments objectifs permettant d'effectuer un tel revirement. Le grief sera ainsi écarté.</w:t>
      </w:r>
    </w:p>
    <w:p>
      <w:r>
        <w:rPr>
          <w:b/>
        </w:rPr>
        <w:t>E. 12</w:t>
      </w:r>
    </w:p>
    <w:p>
      <w:r>
        <w:t>Les intimés contestent le bien-fondé de l'amende qui leur a été infligée. Ils n’avaient commis aucune faute, dans la mesure où ils ne pouvaient raisonnablement penser, en 2016, que l'autorité intimée appliquerait un blocage rétroactif des loyers. Le montant de l'amende était, dans tous les cas, excessif, et le département n'avait pas expliqué comment il l'aurait calculé. Ils bénéficieraient de nombreuses circonstances atténuantes, notamment une absence de volonté de ne pas respecter la LDTR, une absence de cupidité et d'antécédents. Enfin, le montant de l'amende était bien supérieur à celui des amendes infligées pour des cas similaires. ![endif]&gt;![if&gt;</w:t>
      </w:r>
    </w:p>
    <w:p>
      <w:r>
        <w:rPr>
          <w:b/>
        </w:rPr>
        <w:t>E. 12.1</w:t>
      </w:r>
    </w:p>
    <w:p>
      <w:r>
        <w:t>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LCI).![endif]&gt;![if&gt;</w:t>
      </w:r>
    </w:p>
    <w:p>
      <w:r>
        <w:rPr>
          <w:b/>
        </w:rPr>
        <w:t>E. 12.2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 ATA/174/2023 du 28 février 2023 consid. 2.1.3 et les arrêts cités). ![endif]&gt;![if&gt;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 ATA/19/2018 du 9 janvier 2018). Il est ainsi nécessaire que le contrevenant ait commis une faute, fût-ce sous la forme d’une simple négligence. Selon la jurisprudence constante, l’administration doit faire preuve de sévérité afin d’assurer le respect de la loi ( ATA/174/2023 précité consid. 2.1.4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12.3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 MOREILLON/Christophe PIGUET/Christian BETTEX/Daniel STOLL [éds], Code pénal - Petit commentaire, 2 e éd., n. 18 ad art. 13). ![endif]&gt;![if&gt;</w:t>
      </w:r>
    </w:p>
    <w:p>
      <w:r>
        <w:rPr>
          <w:b/>
        </w:rPr>
        <w:t>E. 12.4</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 ![endif]&gt;![if&gt;</w:t>
      </w:r>
    </w:p>
    <w:p>
      <w:r>
        <w:rPr>
          <w:b/>
        </w:rPr>
        <w:t>E. 12.5</w:t>
      </w:r>
    </w:p>
    <w:p>
      <w:r>
        <w:t>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![endif]&gt;![if&gt;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 ATA/174/2023 précité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 ATA/174/2023 précité consid. 2.1.9 et les références citées). Si les antécédents constituent une circonstance aggravante, l’absence d’antécédents est une circonstance neutre qui n’a pas l’effet de minorer la sanction ( ATA/174/2023 précité consid. 2.2.2)</w:t>
      </w:r>
    </w:p>
    <w:p>
      <w:r>
        <w:rPr>
          <w:b/>
        </w:rPr>
        <w:t>E. 12.6</w:t>
      </w:r>
    </w:p>
    <w:p>
      <w:r>
        <w:t>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 er décembre 2020 consid. 3.2).![endif]&gt;![if&gt;</w:t>
      </w:r>
    </w:p>
    <w:p>
      <w:r>
        <w:rPr>
          <w:b/>
        </w:rPr>
        <w:t>E. 12.7</w:t>
      </w:r>
    </w:p>
    <w:p>
      <w:r>
        <w:t>En l'espèce, les intimés ont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amende.![endif]&gt;![if&gt; Les intimés ne sauraient raisonnablement se prévaloir du fait qu'ils pouvaient, sans demander une autorisation, exécuter les travaux en cause, dans la mesure où, selon leur propre appréciation, il s'agissait de simples travaux d'entretien non soumis à la LDTR. La régie qui les représente ne pouvait ignorer, en tant que professionnelle de l'immobilier, que la distinction entre travaux d'entretien et travaux de transformation était et est toujours délicate à opérer, ni que l'autorité intimée pouvait appliquer un blocage rétroactif des loyers, découlant de la loi et prévu expressément par la jurisprudence depuis l' ATA/774/1999 du 21 décembre 1999 à tous le moins. Dès lors, elle aurait dû prendre renseignement auprès du département, ce d'autant plus que la nature des travaux, leur ampleur et leurs coûts, pour la plupart probablement devisés, ne permettaient de toute évidence pas de retenir qu'il se serait agi de simples travaux d'entretien non soumis à autorisation. En usant des précautions voulues, soit en se renseignant simplement auprès du département, elle aurait pu éviter de commettre les infractions reprochées. Dès lors, son erreur était manifestement évitable, même à considérer qu'elle était persuadée que les travaux n'étaient pas soumis à autorisation. Au vu de ce qui précède, les intimés ont, à tout le moins, agi par négligence et ont ainsi commis une faute. On ne saurait retenir qu'ils ont agi en fonction d'une appréciation erronée des faits. Une erreur sur l'illicéité est tout autant exclue. L’amende, qui inclut l'infraction à la LCI et à la LDTR, est en conséquence fondée dans son principe.</w:t>
      </w:r>
    </w:p>
    <w:p>
      <w:r>
        <w:rPr>
          <w:b/>
        </w:rPr>
        <w:t>E. 12.8</w:t>
      </w:r>
    </w:p>
    <w:p>
      <w:r>
        <w:t>En ce qui concerne son montant, l’autorité l’a arrêté à CHF 5’600.-. ![endif]&gt;![if&gt; Il faut concéder que la décision de l'autorité ne mentionne pas les éléments qui ont été pris en compte dans la fixation du montant dans l'amende, ni a fortiori comment ils ont été pondérés, ce qui est regrettable, une motivation permettant d'apprécier au mieux le raisonnement du département. Il peut être retenu comme circonstances aggravantes le fait que les intimés ont perçu des loyers contraires à la LDTR, la différence entre le montant du loyer pratiqué et celui autorisé, de l’ordre de 100 %, correspondant par ailleurs, pour la période de contrôle, à plusieurs dizaines de milliers de francs, le fait qu'ils étaient assistés d'une régie, versée dans l'immobilier, et qu’ils ont mis l'autorité devant le fait accompli. À cela doit s'ajouter le fait que pendant douze années au moins, de 2004 à 2016, seuls des travaux d'entretien pour un montant de CHF 1’109.- ont été exécutés, ce qui est insuffisant. Les intimés ont ainsi commis une infraction objectivement grave. Aux circonstances aggravantes précitées s'opposent les circonstances atténuantes dont ils se prévalent , en particulier le fait que la violation de la LDTR n'a porté que sur un appartement, qu'ils ont déposé une demande d'autorisation pour régulariser la situation, qu'ils ont pleinement collaboré après l'ouverture de la procédure administrative et répondu à pleine satisfaction et dans les meilleurs délais aux demandes du département et que les travaux se sont révélés conformes aux prescriptions légales. En revanche, contrairement à ce qu'ils prétendent, l'absence d'antécédents n'est pas une circonstance atténuante, mais une circonstance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 Contrairement à ce que soutiennent les intimés, des amendes bien plus élevées que CHF 1'000.- ont été prononcées. Ainsi, le Tribunal fédéral a confirmé une amende de CHF 10'000.- par arrêt du 3 février 2023 ( 1C_447/2022 ) contre un propriétaire ayant rénové sans autorisation un appartement de son immeuble, une amende de CHF 100'000.- le 7 mars 2023 ( 1C_264/2022 ) contre un propriétaire ayant rénové plusieurs appartements sans APA retenant la cupidité et la récidive, et pour lesquels il a dû rembourser CHF 212'501.- aux locataires, et une amende de CHF 15'000.- le 21 avril 2023 ( 1C_468/2022 ) contre l’architecte d’un propriétaire pour les travaux effectués sans autorisation retenant comme critères notamment sa qualité de professionnel du domaine et de récidiviste. Le montant de CHF 5'600.- apparaît ainsi modeste et respecte en conséquence le principe de la proportionnalité. Au vu de tout ce qui précède, le département n'a pas abusé de son large pouvoir d'appréciation en fixant l'amende à CHF 5’600.-, soit à 28% du maximum prévu de CHF 20'000.- (art. 137 al. 2 LCI), les intimés n'exposant au demeurant pas rencontrer de difficultés financières. En conséquence, le recours du département sera admis, le jugement du TAPI annulé et les décisions du département rétablies.</w:t>
      </w:r>
    </w:p>
    <w:p>
      <w:r>
        <w:rPr>
          <w:b/>
        </w:rPr>
        <w:t>E. 13</w:t>
      </w:r>
    </w:p>
    <w:p>
      <w:r>
        <w:t>Vu l’issue du litige, un émolument de CHF 2'000.- sera mis à la charge solidaire des intimés, qui succombent (art. 87 al. 1 LPA). Il ne sera pas alloué d’indemnité de procédure (art. 87 al. 2 LPA).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