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A/4414/2022 vom 21. März 2023</w:t>
      </w:r>
    </w:p>
    <w:p>
      <w:r>
        <w:t>GE Cour de justice, 2023-03-21, FR</w:t>
      </w:r>
    </w:p>
    <w:p>
      <w:r>
        <w:rPr>
          <w:b/>
        </w:rPr>
        <w:t xml:space="preserve">Quelle: </w:t>
      </w:r>
      <w:r>
        <w:t>https://mcp.opencaselaw.ch/entscheid/ge_gerichte_A_4414_2022</w:t>
      </w:r>
    </w:p>
    <w:p>
      <w:r>
        <w:t>FR: GE_GERICHTE A/4414/2022 du 21 mars 2023</w:t>
      </w:r>
    </w:p>
    <w:p>
      <w:r>
        <w:t>IT: GE_GERICHTE A/4414/2022 del 21 marzo 2023</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2).![endif]&gt;![if&gt;</w:t>
      </w:r>
    </w:p>
    <w:p>
      <w:r>
        <w:rPr>
          <w:b/>
        </w:rPr>
        <w:t>E. 2</w:t>
      </w:r>
    </w:p>
    <w:p>
      <w:r>
        <w:t>Les recourantes considèrent avoir qualité pour recourir contre la « décision » du 6 décembre 2022 qui leur a été notifiée, ce que les intimés contestent.![endif]&gt;![if&gt;</w:t>
      </w:r>
    </w:p>
    <w:p>
      <w:r>
        <w:rPr>
          <w:b/>
        </w:rPr>
        <w:t>E. 2.1</w:t>
      </w:r>
    </w:p>
    <w:p>
      <w:r>
        <w:t>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LPA).![endif]&gt;![if&gt;</w:t>
      </w:r>
    </w:p>
    <w:p>
      <w:r>
        <w:rPr>
          <w:b/>
        </w:rPr>
        <w:t>E. 2.2</w:t>
      </w:r>
    </w:p>
    <w:p>
      <w:r>
        <w:t>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ATA/599/2021 précité consid. 5b ; ATA/1656/2019 précité consid. 2c). La décision a pour objet de régler une situation juridique, c'est-à-dire de déterminer les droits et obligations de sujets de droit en tant que tels (Benoît BOVAY, Procédure administrative, 2ème éd., 2015, p. 339 ss).![endif]&gt;![if&gt;</w:t>
      </w:r>
    </w:p>
    <w:p>
      <w:r>
        <w:rPr>
          <w:b/>
        </w:rPr>
        <w:t>E. 2.3</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![endif]&gt;![if&gt;</w:t>
      </w:r>
    </w:p>
    <w:p>
      <w:r>
        <w:rPr>
          <w:b/>
        </w:rPr>
        <w:t>E. 2.4</w:t>
      </w:r>
    </w:p>
    <w:p>
      <w:r>
        <w:t>En l’espèce, par pli du 30 novembre 2022, un avocat, intervenant pour « les milieux professionnels du taxi », a sollicité de l’autorité intimée, que différentes mesures soient prises, à l’instar du constat de nullité de la décision du 16 novembre 2022 et de la confirmation qu’C______ restait sous interdiction d’exercer une activité dans le canton. Par pli du 6 décembre 2022, l’autorité intimée a précisé que la décision du 16 novembre 2022 était adressée à C______, qui en était l’unique destinataire, qu’elle était publique et a rappelé qu’une commission consultative serait prochainement constituée. Ce courrier n'a aucunement pour objet les droits et obligations des deux sociétés recourantes, que ce soit pour les créer, les modifier, les annuler (al. 1 let. a), les constater (let. b) ou pour en rejeter la création ou la constatation (let. c ; art. 4 al. 1 LPA) et ne constitue pas une décision au sens de l’art. 4 LPA.![endif]&gt;![if&gt;</w:t>
      </w:r>
    </w:p>
    <w:p>
      <w:r>
        <w:rPr>
          <w:b/>
        </w:rPr>
        <w:t>E. 3</w:t>
      </w:r>
    </w:p>
    <w:p>
      <w:r>
        <w:t>Subsidiairement, les recourantes soutiennent que le courrier du 6 décembre 2022 serait une décision « au sens de l’art. 4A LPA ». Il s’agirait d’un refus de constater et de mettre fin à un acte illicite au sens de cette disposition.![endif]&gt;![if&gt;</w:t>
      </w:r>
    </w:p>
    <w:p>
      <w:r>
        <w:rPr>
          <w:b/>
        </w:rPr>
        <w:t>E. 3.1</w:t>
      </w:r>
    </w:p>
    <w:p>
      <w:r>
        <w:t>Sous le titre marginal « Droit à un acte attaquable », l'art. 4A LPA dispose que toute personne qui a un intérêt digne de protection peut exiger que l'autorité compétente pour des actes fondés sur le droit fédéral, cantonal ou communal et touchant à des droits ou des obligations (a) s'abstienne d'actes illicites, cesse de les accomplir, ou les révoque, (b) élimine les conséquences d'actes illicites ou (c) constate le caractère illicite de tels actes (al. 1). L'autorité statue par décision (al. 2). Lorsqu'elle n'est pas désignée, l'autorité compétente est celle dont relève directement l'intervention étatique en question (al. 3).  ![endif]&gt;![if&gt;</w:t>
      </w:r>
    </w:p>
    <w:p>
      <w:r>
        <w:rPr>
          <w:b/>
        </w:rPr>
        <w:t>E. 3.2</w:t>
      </w:r>
    </w:p>
    <w:p>
      <w:r>
        <w:t>Il appartient à l'administré, qui s'estime touché dans ses droits ou obligations par des actes de l'autorité et exige de celle-ci qu'elle s'abstienne d'actes illicites, cesse de les accomplir ou les révoque, élimine les conséquences d'actes illicites ou constate le caractère illicite de tels actes (art. 4A al. 1 LPA), qu'il formule suffisamment clairement ses prétentions afin que l'autorité sache ce qui lui est demandé. L'exigence de formuler suffisamment clairement ce qui est demandé à l'autorité sous l'angle de l'art. 4A LPA/GE répond à un intérêt légitime et n'entrave pas l'accès au juge (arrêt du Tribunal fédéral 8C_775/2019 du 17 mars 2020 consid. 3.4).![endif]&gt;![if&gt;</w:t>
      </w:r>
    </w:p>
    <w:p>
      <w:r>
        <w:rPr>
          <w:b/>
        </w:rPr>
        <w:t>E. 3.3</w:t>
      </w:r>
    </w:p>
    <w:p>
      <w:r>
        <w:t>En l’espèce, le courrier du 30 novembre 2022 demande, principalement, au DEE de dire que la décision du 16 novembre 2022 est nulle et de confirmer qu’C______ restait sous interdiction d’exercer une activité dans le canton de Genève. L’intéressé n’a pas fait référence à une requête de constatation du caractère illicite de l’activité d’C______ Il n’a pas non plus fait mention dans son courrier du 30 novembre 2022 de l’art. 4A LPA. Son courrier sollicite une prise de position de l’autorité avant l’assemblée générale des milieux des taxis. De même, aucune des deux sociétés, constatant à réception de la réponse du département du 6 décembre 2022 que celui-ci n'avait pas rendu de décision, n’a requis de décision sujette à recours. ![endif]&gt;![if&gt;</w:t>
      </w:r>
    </w:p>
    <w:p>
      <w:r>
        <w:rPr>
          <w:b/>
        </w:rPr>
        <w:t>E. 4</w:t>
      </w:r>
    </w:p>
    <w:p>
      <w:r>
        <w:t>Plus subsidiairement, les recourantes considèrent que le DEE commettrait un déni de justice formel en ne statuant pas sur leur requête d’analyser le nouveau modèle d’C______![endif]&gt;![if&gt;</w:t>
      </w:r>
    </w:p>
    <w:p>
      <w:r>
        <w:rPr>
          <w:b/>
        </w:rPr>
        <w:t>E. 4.1</w:t>
      </w:r>
    </w:p>
    <w:p>
      <w:r>
        <w:t>Une partie peut recourir en tout temps pour déni de justice ou retard non justifié si l’autorité concernée ne donne pas suite rapidement à la mise en demeure prévue à l’art. 4 al. 4 (art. 62 al. 6 LPA).  Lorsqu’une autorité mise en demeure refuse sans droit de statuer ou tarde à se prononcer, son silence est assimilé à une décision (art. 4 al. 4 LPA).![endif]&gt;![if&gt;</w:t>
      </w:r>
    </w:p>
    <w:p>
      <w:r>
        <w:rPr>
          <w:b/>
        </w:rPr>
        <w:t>E. 4.2</w:t>
      </w:r>
    </w:p>
    <w:p>
      <w:r>
        <w:t>Le courrier du 30 novembre 2022 ne contient pas de mise en demeure. Il contient une demande de prise de position du département en vue de l’assemblée générale de la profession le 8 décembre au soir. Le département a répondu dans le délai. Il a toutefois implicitement refusé d’entrer en matière. Il n’y a ni retard non justifié, ni refus de statuer, ni mise en demeure ultérieure de se prononcer. Les conditions d’un déni de justice ne sont donc pas remplies.![endif]&gt;![if&gt; Le recours contre le courrier du 6 décembre 2022 est ainsi irrecevable.</w:t>
      </w:r>
    </w:p>
    <w:p>
      <w:r>
        <w:rPr>
          <w:b/>
        </w:rPr>
        <w:t>E. 5</w:t>
      </w:r>
    </w:p>
    <w:p>
      <w:r>
        <w:t>Les recourantes considèrent avoir qualité pour recourir contre la décision du 16 novembre 2022 en application de l’art. 60 al. 1 let. b LPA au motif que l’autorité intimée créerait artificiellement une distorsion de la concurrence, en violation de la LTVTC tant dans son but originel d’instaurer une concurrence saine que dans ses dispositions spéciales conditionnant l’octroi d’autorisations. L’autorité intimée traiterait inégalement les recourantes et C______, en refusant d’appliquer la loi pour cette dernière et en créant ainsi une différence de traitement qui confinerait à l’arbitraire.![endif]&gt;![if&gt;</w:t>
      </w:r>
    </w:p>
    <w:p>
      <w:r>
        <w:rPr>
          <w:b/>
        </w:rPr>
        <w:t>E. 5.1</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ATA/181/2013 du 19 mars 2013 ;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citées).![endif]&gt;![if&gt;</w:t>
      </w:r>
    </w:p>
    <w:p>
      <w:r>
        <w:rPr>
          <w:b/>
        </w:rPr>
        <w:t>E. 5.2</w:t>
      </w:r>
    </w:p>
    <w:p>
      <w:r>
        <w:t>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3).![endif]&gt;![if&gt;</w:t>
      </w:r>
    </w:p>
    <w:p>
      <w:r>
        <w:rPr>
          <w:b/>
        </w:rPr>
        <w:t>E. 5.3</w:t>
      </w:r>
    </w:p>
    <w:p>
      <w:r>
        <w:t>Selon la jurisprudence, un intérêt digne de protection suppose un intérêt actuel à obtenir l’annulation ou la modification de la décision attaquée (ATF 138 II 42 consid. 1 ; arrêt du Tribunal fédéral 2C_865/2019 du 14 avril 2020 consid.  3.2 ; ATA/619/2020 du 23 juin 2020). L’existence d’un intérêt actuel s’apprécie non seulement au moment du dépôt du recours, mais aussi lors du prononcé de la décision sur recours (ATF 142 I 135 consid. 1.3.1). ![endif]&gt;![if&gt; En outre,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(ATF 137 II 40 consid. 2.3 ;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ATA/636/2020 du 30 juin 2020). Un intérêt purement théorique à la solution d'un problème est de même insuffisant (ATF 144 I 43 consid. 2.1).</w:t>
      </w:r>
    </w:p>
    <w:p>
      <w:r>
        <w:rPr>
          <w:b/>
        </w:rPr>
        <w:t>E. 5.4</w:t>
      </w:r>
    </w:p>
    <w:p>
      <w:r>
        <w:t>De jurisprudence constante, dans le but d'exclure l'action populaire, les concurrents du bénéficiaire d'une autorisation n'ont pas qualité pour recourir du seul fait qu'ils invoquent la crainte d'être exposés à une concurrence accrue ; une telle conséquence découle naturellement du principe de la libre concurrence. En vue de fonder sa qualité pour recourir, un concurrent doit établir l'existence d'un rapport particulièrement étroit et digne de protection (en all. : « eine schutzwürdige besondere Beziehungsnähe ») avec l'objet du litige ; cette relation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Un concurrent dispose également de la qualité pour recourir lorsqu'il fait valoir que d'autres concurrents bénéficient d'un traitement de faveur (ATF 142 II 80 consid. 1.4.2 ; 139 II 328 consid. 3.3). ![endif]&gt;![if&gt; La perte de parts de marché ou la baisse du chiffre d'affaires consécutives à l'installation d'un nouveau concurrent à proximité d'une autre entreprise ne fondent pas, à elles seules, la qualité pour recourir de celle-ci à l'encontre de l'autorisation d'exploiter un commerce octroyée à son concurrent. Il s'agit là en général des conséquences naturelles de la libre concurrence, qui est protégée par les art. 27 et 94 Cst. De surcroît, le seul intérêt des concurrents à ce que les règles générales soient correctement appliquées à toutes les entreprises ne leur confère pas non plus la qualité pour recourir (arrêt du Tribunal fédéral 2C_90/2016 du 2 août 2016 consid. 3.6 et les références citées).</w:t>
      </w:r>
    </w:p>
    <w:p>
      <w:r>
        <w:rPr>
          <w:b/>
        </w:rPr>
        <w:t>E. 6</w:t>
      </w:r>
    </w:p>
    <w:p>
      <w:r>
        <w:t>Il convient préalablement de définir le législation applicable au fond au présent litige, les recourantes contestant l’application de l’aLTVTC.![endif]&gt;![if&gt;</w:t>
      </w:r>
    </w:p>
    <w:p>
      <w:r>
        <w:rPr>
          <w:b/>
        </w:rPr>
        <w:t>E. 6.1</w:t>
      </w:r>
    </w:p>
    <w:p>
      <w:r>
        <w:t>Le 1 er novembre 2022 est entrée en vigueur la LTVTC, abrogeant l’aLTVTC (art. 44 LTVTC).![endif]&gt;![if&gt; Selon les dispositions transitoires, l’entreprise de transport annoncée sous l’égide de l’aLTVTC doit requérir, dans un délai d’une année à compter de l’entrée en vigueur de la LTVTC, l’autorisation visée à l’art.10 LTVTC pour pouvoir poursuivre son activité (art. 46 al. 4 LTVTC).</w:t>
      </w:r>
    </w:p>
    <w:p>
      <w:r>
        <w:rPr>
          <w:b/>
        </w:rPr>
        <w:t>E. 6.2</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ATA/813/2022 du 17 août 2022 consid. 2b ; Thierry TANQUEREL, Manuel de droit administratif, 2 ème éd., 2018, n. 403 ss).![endif]&gt;![if&gt;</w:t>
      </w:r>
    </w:p>
    <w:p>
      <w:r>
        <w:rPr>
          <w:b/>
        </w:rPr>
        <w:t>E. 6.3</w:t>
      </w:r>
    </w:p>
    <w:p>
      <w:r>
        <w:t>En l’espèce, bien que citant la jurisprudence précitée, les recourantes considèrent que le nouveau droit devrait s’appliquer en se référant à l’octroi d’une autorisation le 16 novembre 2022. Cette approche est erronée. En effet, la décision litigieuse ne consiste pas en la délivrance d’une nouvelle autorisation, mais porte sur l’appréciation, par le DEE, du rétablissement d’une situation conforme au droit, en application de l’art. 36 al. 2 aLTVTC conformément aux considérants qui suivent. Sont dès lors pertinents les faits à l’origine de la mesure. L’aLTVTC est en conséquence applicable au présent litige.![endif]&gt;![if&gt;</w:t>
      </w:r>
    </w:p>
    <w:p>
      <w:r>
        <w:rPr>
          <w:b/>
        </w:rPr>
        <w:t>E. 7</w:t>
      </w:r>
    </w:p>
    <w:p>
      <w:r>
        <w:t>L’aLTVTC a pour but de promouvoir un service public efficace et de qualité capable de répondre à la demande tous les jours de l'année, à toute heure et en tout lieu du territoire genevois (al. 2). Elle a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(al. 3, art. 1 aLTVTC).![endif]&gt;![if&gt; L’aLTVTC et ses dispositions d'application régissent exclusivement : a ) l'activité de transport professionnel de personnes déployée par les taxis et les VTC dans le canton de Genève, que ce soit à titre individuel ou sous la forme d'une entreprise, quelle que soit sa forme juridique ; b) l'activité des intermédiaires entre les clients et les chauffeurs, exercée dans le canton de Genève ou y déployant ses effets (art. 2 aLTVTC).</w:t>
      </w:r>
    </w:p>
    <w:p>
      <w:r>
        <w:rPr>
          <w:b/>
        </w:rPr>
        <w:t>E. 7.1</w:t>
      </w:r>
    </w:p>
    <w:p>
      <w:r>
        <w:t>Tout exploitant d'une entreprise de taxis ou VTC, quelle que soit sa forme juridique, veille, en sa qualité de dirigeant effectif, à ce que les chauffeurs qui utilisent les voitures de l'entreprise respectent toutes les dispositions légales qui leur sont applicables (al. 1). Les exploitants d'entreprises respectent, pour autant qu'elle existe, la convention collective de travail ou, subsidiairement et pour autant qu'il existe, le contrat-type de travail (al. 2). Les exploitants d’entreprises respectent les dispositions relatives à la protection sociale des travailleurs et aux conditions de travail en usage dans leur secteur d’activité. Le département leur demande en tout temps de signer l’engagement correspondant auprès de l’autorité cantonale compétente (al. 3 ; art. 25 aLTVTC) ![endif]&gt;![if&gt;</w:t>
      </w:r>
    </w:p>
    <w:p>
      <w:r>
        <w:rPr>
          <w:b/>
        </w:rPr>
        <w:t>E. 7.2</w:t>
      </w:r>
    </w:p>
    <w:p>
      <w:r>
        <w:t>Le département peut faire interdiction à un diffuseur de courses ou à une entreprise de transport de poursuivre son activité s'il ne respecte pas les obligations qui lui sont imposées par l’aLTVTC ses dispositions d'application, jusqu'au rétablissement d'une situation conforme au droit (art. 36 al. 2 aLTVTC).![endif]&gt;![if&gt;</w:t>
      </w:r>
    </w:p>
    <w:p>
      <w:r>
        <w:rPr>
          <w:b/>
        </w:rPr>
        <w:t>E. 7.3</w:t>
      </w:r>
    </w:p>
    <w:p>
      <w:r>
        <w:t>En l’espèce, la décision initiale du 29 octobre 2019, confirmée par la chambre administrative de la Cour de justice par arrêt du 17 novembre 2020, puis par arrêt du Tribunal fédéral du 30 mai 2022 est une mesure administrative prise par l’autorité en vue de rétablir une situation conforme au droit. Les mesures administratives « ont pour objet d’imposer des obligations ou de refuser – ou de retirer – des droits à des administrés afin d’obliger ceux-ci à se conformer à des obligations générales ou particulières qui leur incombent en vertu de la loi ou de décisions » (Thierry TANQUEREL, Manuel de droit administratif, 2018, n° 1197). Elle était fondée sur l’art. 36 al. 2 aLTVTC, pour n’avoir pas respecté l’art. 25 al. 3 aLTVTC, lequel traite de la protection sociale des travailleurs et des conditions en usage dans le secteur d’activité. À juste titre, l’autorité intimée rappelle ainsi que la décision initiale avait pour finalité le respect des conditions de travail des personnes employées par l’entreprise C______ et non la régulation de la concurrence. ![endif]&gt;![if&gt; Par définition, une telle mesure n’est dirigée que contre le perturbateur et ne s’adresse pas aux autres administrés. Ce même principe vaut pour la décision, qui en est le pendant, à savoir le constat du rétablissement d’une situation conforme au droit, en application de l’art. 36 al. 2 in fine aLTVTC, qui relève de la seule appréciation de l’autorité, et non des autres administrés.</w:t>
      </w:r>
    </w:p>
    <w:p>
      <w:r>
        <w:rPr>
          <w:b/>
        </w:rPr>
        <w:t>E. 7.4</w:t>
      </w:r>
    </w:p>
    <w:p>
      <w:r>
        <w:t>Les recourantes invoquent un « rapport étroit d’activité », au point que l’arrivée d’C______ aurait causé une forte diminution de l’activité des taxis alors que sa cessation d’activité du 3 au 10 juin 2022 aurait, au contraire, provoqué une augmentation de l’activité des taxis de plus de 40 %. La LTVTC aurait « spécifiquement pour but de promouvoir une saine concurrence entre ses acteurs, en particulier entre les taxis et les VTC ».![endif]&gt;![if&gt; Or, l’intérêt à recourir doit être direct et non médiat. Conformément à la jurisprudence, le rapport particulièrement étroit et digne de protection doit résulter de la législation applicable au fond. En l’espèce, aucun des buts énoncés par l’aLTVTC n’évoque la protection contre une concurrence accrue entre taxis et VTC. Les buts de l’aLTVTC consistent en l’efficacité du service public, que le législateur a voulu « de qualité capable de répondre à la demande tous les jours de l'année, à toute heure et en tout lieu du territoire genevois ». Selon l’al. 3, ladite législation veille aussi à la sécurité publique, l’ordre public, le respect de l'environnement et des règles relatives à l'utilisation du domaine public ainsi que la loyauté dans les transactions commerciales et de la transparence des prix, soit dans les relations transporteur et client. Les questions de concurrence ne font donc pas l’objet de la législation au fond. De surcroît, d’une part, l’aLTVTC prévoit la cohabitation des taxis et des VTC. D’autre part, le contingentement ne concerne que le nombre de taxis (art. 10 al. 2 aLTVTC et 21 a RTVTC). Le législateur a ainsi souhaité une « complémentarité en matière de service public » entre taxis et VTC, sans limiter le nombre des seconds. Dans ces conditions, sans nier les interactions entre les deux groupes, dans cette optique de complémentarité, il n’existe pas de règles spécifiques, notamment de clause du besoin ou un contingentement entre taxis et VTC qui aurait pour effet de placer les concurrents dans une relation particulièrement étroite les uns avec les autres au sens, très strict, de la jurisprudence précitée. Cela ne relève en tous les cas pas de la législation concernée au fond, une éventuelle action fondée sur le droit de la concurrence n’étant pas l’objet du présent litige. Même à suivre les recourantes dans leur argumentation de concurrence, elles ne se plaignent que de la diminution de leur chiffre d’affaires en lien avec l’activité déployée par C______ Or, comme le mentionne la jurisprudence, ce fait ne fonde pas la qualité pour recourir du concurrent. Dans leur réplique, elles C______ B.V, étant acteurs économiques de la même branche, au vu des buts de la LTVTC. Or, et comme précédemment relevé, il ne s’agit pas de l’octroi d’une autorisation, mais du constat du rétablissement d’une situation conforme au droit. De surcroît, seul B______ est aussi définie comme exploitante d’une entreprise de transport, en l’occurrence pour deux taxis, au sens de l’art. 4 let. c aLTVTC, à l’instar d’C______ A______ est un « diffuseur de courses » au sens de l’art. 4 let. d a LTVTC, ce que ce dernier ne conteste pas. Le fait que la recourante considère qu’C______ devrait être actuellement aussi qualifiée de « diffuseur de courses » n’est pas l’objet du présent litige.</w:t>
      </w:r>
    </w:p>
    <w:p>
      <w:r>
        <w:rPr>
          <w:b/>
        </w:rPr>
        <w:t>E. 7.5</w:t>
      </w:r>
    </w:p>
    <w:p>
      <w:r>
        <w:t>Les recourantes critiquent la décision alléguant qui autoriserait C______ à poursuivre son activité, en toute illégalité, sous sa forme actuelle, et sans analyser son nouveau modèle au regard de la loi applicable. ![endif]&gt;![if&gt; Or, le litige porte exclusivement sur l’application de l’art. 36 al. 2 a LTVTC à C______, soit l’appréciation, par le DEE, du rétablissement d’une situation conforme au droit par ladite société. Toute autre question, notamment la poursuite de l’activité sous un nouveau modèle, est hors de l’objet du présent litige. À ce titre, les conditions posées par le DEE à C______ pour considérer qu’une situation conforme au droit au 17 juin 2022, date de la cessation de son activité d’« exploitant d’entreprise de transport » a été rétablie, ne concernent aucunement les taxis ou diffuseurs de courses.</w:t>
      </w:r>
    </w:p>
    <w:p>
      <w:r>
        <w:rPr>
          <w:b/>
        </w:rPr>
        <w:t>E. 7.6</w:t>
      </w:r>
    </w:p>
    <w:p>
      <w:r>
        <w:t>Les recourantes citent plusieurs arrêts pour soutenir que l’intérêt digne de protection est reconnu aux concurrents de la même branche économique même en l’absence de législation qui a pour but de lutter contre la concurrence déloyale et même si le concurrent n’a pas le même statut.![endif]&gt;![if&gt; La situation de PharmaSuisse (ATF 142 II 80 = JdT 2016 I 47 consid. 1.4.3) n’est pas comparable. Cette association a notamment pour but d’assurer au public des garanties de qualité et de sécurité élevées dans les services professionnels des pharmaciens ; elle a personnellement qualité pour contester une activité qu’elle tient pour incompatible avec ces garanties (art. 89 al. 1 er LTF). L’ATF 139 II 328 consid. 3.3 traite d’une application de la loi fédérale sur les cartels et autres restrictions à la concurrence du 6 octobre 1995 (loi sur les cartels, LCart - RS 251), non pertinente en l’espèce. La situation des loteries est particulière. Selon le Tribunal fédéral, il existe une relation de proximité particulière entre les concurrents qui est plus intense que dans n'importe quel cas où un tiers veut simplement contester l'autorisation d'exploiter ou de construire accordée à un concurrent dans un système de libre concurrence (sans se plaindre d'une inégalité de traitement). La réglementation légale atteint dans une plus grande mesure les concurrents, parce que l'autorisation d'organiser une loterie ne dépend pas seulement de conditions de police, mais aussi de la clause du besoin, domaine où la libre concurrence ne prédomine pas (ATF 127 II 264 = JdT 2004 I p. 166, consid. 2e à g). Cette particularité des loteries a été confirmée dans l’ATF 141 II 262 consid. 3.2. L’ATF 135 II 243 n’est pas pertinent s’agissant d’un recours contre un acte normatif. L’arrêt 2C/1024/2016 du 23 février 2018 consid. 3, traitant de la SSR, mentionne précisément que l’art. 29 de la loi fédérale sur la radio et la télévision du 24 mars 2006 (LRTV - 784.40) vise à créer un équilibre « entre l'initiative entrepreneuriale de la SSR, en principe souhaitable, et les besoins légitimes de protection » d'autres acteurs du marché, en partie « plus faibles », c’est-à-dire entre les objectifs de l'art. 93 al. 2 de la Constitution fédérale de la Confédération suisse du 18 avril 1999 (Cst. - RS 101 ; mandat à la radio et à la télévision) et de l'art. 93 al. 4 Cst. (respect des autres médias). Ces arrêts ne sont en conséquence pas comparables à la présente situation.</w:t>
      </w:r>
    </w:p>
    <w:p>
      <w:r>
        <w:rPr>
          <w:b/>
        </w:rPr>
        <w:t>E. 7.7</w:t>
      </w:r>
    </w:p>
    <w:p>
      <w:r>
        <w:t>Enfin, les recourantes ne peuvent pas fonder leur qualité pour recourir sur un « traitement de faveur » d’C______ Elles fondent leur argumentation sur la délivrance d’une autorisation, critiquant l’absence d’analyse par le DEE. Or, comme précédemment mentionnée, la décision querellée trouve son fondement dans la levée d’une mesure administrative. ![endif]&gt;![if&gt; En conséquence, les recourantes ne remplissent aucune des deux conditions cumulatives et nécessaires pour avoir la qualité pour recourir, l’exception de l’art. 111 LTF n’étant pas pertinente en l’espèce : elles n’étaient pas parties à la procédure qui a abouti à la décision attaquée (art. 60 al. 1 let. a LPA) ni ne remplissent les conditions de l’art. 60 al. 1 let. b LPA.</w:t>
      </w:r>
    </w:p>
    <w:p>
      <w:r>
        <w:rPr>
          <w:b/>
        </w:rPr>
        <w:t>E. 8</w:t>
      </w:r>
    </w:p>
    <w:p>
      <w:r>
        <w:t>Le prononcé du présent arrêt rend sans objet la requête en restitution d’effet suspensif.![endif]&gt;![if&gt;</w:t>
      </w:r>
    </w:p>
    <w:p>
      <w:r>
        <w:rPr>
          <w:b/>
        </w:rPr>
        <w:t>E. 9</w:t>
      </w:r>
    </w:p>
    <w:p>
      <w:r>
        <w:t>Vu l’issue du litige, un émolument de CHF 1'500.- sera mis à la charge des recourantes, prises solidairement (art. 87 al. 1 LPA). Une indemnité de procédure de CHF 1'000.- sera allouée à C______ qui y a conclu (art. 87 al. 2 LPA). Même s’il a recouru à un mandataire, il ne sera pas alloué d’indemnité de procédure à l’État de Genève, lequel possède un service juridique.![endif]&gt;![if&gt;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