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A/439/2022 vom 18. April 2023</w:t>
      </w:r>
    </w:p>
    <w:p>
      <w:r>
        <w:t>GE Cour de justice, 2023-04-18, FR</w:t>
      </w:r>
    </w:p>
    <w:p>
      <w:r>
        <w:rPr>
          <w:b/>
        </w:rPr>
        <w:t xml:space="preserve">Quelle: </w:t>
      </w:r>
      <w:r>
        <w:t>https://mcp.opencaselaw.ch/entscheid/ge_gerichte_A_439_2022</w:t>
      </w:r>
    </w:p>
    <w:p>
      <w:r>
        <w:t>FR: GE_GERICHTE A/439/2022 du 18 avril 2023</w:t>
      </w:r>
    </w:p>
    <w:p>
      <w:r>
        <w:t>IT: GE_GERICHTE A/439/2022 del 18 aprile 2023</w:t>
      </w:r>
    </w:p>
    <w:p>
      <w:pPr>
        <w:pStyle w:val="Heading2"/>
      </w:pPr>
      <w:r>
        <w:t>Erwägungen</w:t>
      </w:r>
    </w:p>
    <w:p>
      <w:r>
        <w:rPr>
          <w:b/>
        </w:rPr>
        <w:t>E. 2</w:t>
      </w:r>
    </w:p>
    <w:p>
      <w:r>
        <w:t>La recourante ne fait plus valoir qu’elle remplirait les conditions d’octroi d’une autorisation de séjour. Elle fait uniquement valoir que son renvoi n’est pas possible, les possibilités de traitement adéquat de sa fille au Kosovo faisant défaut.![endif]&gt;![if&gt;</w:t>
      </w:r>
    </w:p>
    <w:p>
      <w:r>
        <w:rPr>
          <w:b/>
        </w:rPr>
        <w:t>E. 2.1</w:t>
      </w:r>
    </w:p>
    <w:p>
      <w:r>
        <w:t>Selon l’art. 64 al. 1 let. c LEI, les autorités compétentes rendent une décision de renvoi ordinaire à l’encontre d’un étranger auquel l’autorisation de séjour est refusée ou dont l’autorisation n’est pas prolongée. À ce titre, elles ne disposent d’aucun pouvoir d’appréciation, le renvoi constituant la conséquence logique et inéluctable du rejet d’une demande d’autorisation.![endif]&gt;![if&gt;</w:t>
      </w:r>
    </w:p>
    <w:p>
      <w:r>
        <w:rPr>
          <w:b/>
        </w:rPr>
        <w:t>E. 2.2</w:t>
      </w:r>
    </w:p>
    <w:p>
      <w:r>
        <w:t>L'exécution d'un renvoi n'est pas possible lorsque l'étranger ne peut pas quitter la Suisse pour son État d'origine, son État de provenance ou un État tiers, ni être renvoyé dans un de ces États (art. 83 al. 2 LEI).![endif]&gt;![if&gt;</w:t>
      </w:r>
    </w:p>
    <w:p>
      <w:r>
        <w:rPr>
          <w:b/>
        </w:rPr>
        <w:t>E. 2.3</w:t>
      </w:r>
    </w:p>
    <w:p>
      <w:r>
        <w:t>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 du Tribunal administratif fédéral ATAF 2014/26 consid. 7.6, 7.9 et 7.10).![endif]&gt;![if&gt;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Le Tribunal administratif fédéral a déjà eu l’occasion de constater que le Kosovo disposait de structures de soins et des médicaments nécessaires au traitement des maladies tant physiques que psychiques (ATAF 2011/50 consid. 8.8.2). Concernant en particulier les retards de développement, les enfants identifiés (par leurs parents, l'école, ou encore un spécialiste en cas de désaccord entre les parents et l'école) comme ayant des besoins spéciaux étudient dans des classes spéciales attachées à des écoles classiques ou dans des écoles spéciales (OSAR, Kosovo: Betreuung von Kindern mit geistiger Behinderung und motorischer Beeinträchtigung, 17 septembre 2015, p. 7 s. ; UNICEF, Justice Denied: The State of Education of Children with Special Needs in Post-Conflict Kosovo, 2009, p. 44; ATAF E-2798/2017 du 11 juillet 2017). Des solutions de prise en charge des enfants autistes existent au Kosovo et se développent activement (Les politiques d'éducation pour les étudiants à risque et ceux présentant un handicap; OCDE/2006, ch. 4, p. 167 ss).</w:t>
      </w:r>
    </w:p>
    <w:p>
      <w:r>
        <w:rPr>
          <w:b/>
        </w:rPr>
        <w:t>E. 2.4</w:t>
      </w:r>
    </w:p>
    <w:p>
      <w:r>
        <w:t>En l’espèce, il n’est pas à craindre qu’en cas de déménagement au Kosovo, avec ses parents et son petit frère, la fille de la recourante ne pourrait plus recevoir les soins essentiels garantissant des conditions minimales d'existence. ![endif]&gt;![if&gt; Selon les renseignements recueillis par le SEM, le service des maladies oto-rhino-laryngologiques de l’hôpital universitaire de Pristina propose des séances orthophoniques ambulatoires. De tels services privés existent également à Pristina et dans d’autres villes. La psychomotricité peut être dispensée par des neurologues pédiatriques auprès de la clinique de neurologie de l’hôpital universitaire de Pristina. Il y existe des offres psychologiques et psychiatriques ainsi que des programmes de thérapie par l’activité, qui améliorent les capacités motrices, communicatives et sociales. Trois organisations non gouvernementales s’occupent d’enfants autistes et proposent des services de prises en charge. Les examens et traitements dans les hôpitaux publics sont gratuits. La famille ayant un enfant autiste recevait une aide de EUR 100.- par mois. À cela vient s’ajouter le constat effectué par le TAF que les enfants identifiés comme ayant des besoins spéciaux étudient dans des classes spéciales attachées à des écoles classiques ou dans des écoles spéciales. Il ressort de ce qui précède qu’il existe au Kosovo des structures scolaires et des soins médicaux destinés à prendre en charge des enfants souffrant d’autisme. La fille de la recourante pourra prétendre, dans son pays d’origine, à un traitement essentiel de ses troubles, même si les soins n’atteignent pas le standard élevé de ceux dont elle bénéficie actuellement en Suisse. Il n’est pas rendu vraisemblable ni allégué que le fait que l’accès à ceux-ci nécessite que la recourante et le père de ses enfants s’établissent à Pristina constituerait une condition qui ne pourrait être raisonnablement exigée de leur part. Partant, il n’apparaît pas que la fille de la recourante ne pourrait plus recevoir, une fois au Kosovo, les soins essentiels garantissant ses conditions minimales d'existence. Il ne peut en tout cas pas être retenu que l’état de santé de la fillette se dégraderait très rapidement au point de conduire d'une manière certaine à la mise en danger concrète de sa vie ou à une atteinte sérieuse et durable de son intégrité physique si elle séjournait de manière durable au Kosovo. Enfin, et bien que la recourante ne fasse qu’évoquer la discrimination qu’elle subirait en raison du fait qu’elle n’est pas mariée au père de ses enfants sans en tirer une conséquence juridique, il est relevé qu’elle ne rend toutefois pas vraisemblable qu’en cas de retour dans son pays, ses enfants et elle, voire son compagnon seraient concrètement rejetés en tant que parents non mariés ou qu’ils risqueraient de subir des traitements inhumains et dégradants en raison de leur relation hors mariage. Comme l’ont relevé l’OCPM et le TAPI, la recourante s’est rendue au Kosovo avec son compagnon et leur enfant sans rencontrer de difficulté. Au vu de ce qui précède, la recourante et sa fille ne remplissent pas les conditions d’une admission provisoire au sens de l’art. 83 LEI. L’exécution de leur renvoi donc possible, licite ou raisonnablement exigible. Infondé, le recours sera ainsi rejeté.</w:t>
      </w:r>
    </w:p>
    <w:p>
      <w:r>
        <w:rPr>
          <w:b/>
        </w:rPr>
        <w:t>E. 3</w:t>
      </w:r>
    </w:p>
    <w:p>
      <w:r>
        <w:t>Vu l’issue du litige, un émolument de CHF 400.- sera mis à la charge de la recourante, qui ne peut se voir allouer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