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A/4396/2022 vom 16. Februar 2023</w:t>
      </w:r>
    </w:p>
    <w:p>
      <w:r>
        <w:t>GE Cour de justice, 2023-02-16, FR</w:t>
      </w:r>
    </w:p>
    <w:p>
      <w:r>
        <w:rPr>
          <w:b/>
        </w:rPr>
        <w:t xml:space="preserve">Quelle: </w:t>
      </w:r>
      <w:r>
        <w:t>https://mcp.opencaselaw.ch/entscheid/ge_gerichte_A_4396_2022</w:t>
      </w:r>
    </w:p>
    <w:p>
      <w:r>
        <w:t>FR: GE_GERICHTE A/4396/2022 du 16 février 2023</w:t>
      </w:r>
    </w:p>
    <w:p>
      <w:r>
        <w:t>IT: GE_GERICHTE A/4396/2022 del 16 febbraio 2023</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art. 52, 56a, al. 1, et art. 73 de la loi fédérale sur la prévoyance professionnelle, vieillesse, survivants et invalidité du 25 juin 1982 [LPP - RS 831.40] ; ancien art. 142 du Code civil du 10 décembre 1907 [CC - RS 210]).![endif]&gt;![if&gt; Aux termes de l’art. 73 al. 3 LPP, le for est au siège ou domicile suisse du défendeur ou au lieu de l’exploitation dans laquelle l’assuré a été engagé. La défenderesse ayant son siège dans le canton de Genève, la compétence de la Cour de céans pour juger du cas d’espèce est établie.</w:t>
      </w:r>
    </w:p>
    <w:p>
      <w:r>
        <w:rPr>
          <w:b/>
        </w:rPr>
        <w:t>E. 2</w:t>
      </w:r>
    </w:p>
    <w:p>
      <w:r>
        <w:t>Le litige porte sur la demande en mainlevée de l'opposition faite au commandement de payer.![endif]&gt;![if&gt;</w:t>
      </w:r>
    </w:p>
    <w:p>
      <w:r>
        <w:rPr>
          <w:b/>
        </w:rPr>
        <w:t>E. 3</w:t>
      </w:r>
    </w:p>
    <w:p>
      <w:r>
        <w:t>a. Conformément à l’art. 10 LPP, l’assurance obligatoire – au sens de l’art. 2 LPP – commence en même temps que les rapports de travail (al. 1 1 ère phr.).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3).![endif]&gt;![if&gt; b. En vertu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La convention dite d’affiliation d’un employeur à une fondation collective ou à une fondation commune est un contrat sui generis fondé sur l’art. 11 LPP (ATF 120 V 299 consid. 4a et les références). c. À teneur de l’art. 66 al. 2 LPP, l’employeur est débiteur de la totalité des cotisations – fixées dans les dispositions réglementaires –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 l'an, dans la mesure où un taux d'intérêt plus élevé n'a pas été convenu par contrat (art. 104 al. 1 et 2 CO ; ATF 130 V 414 consid. 5.1 ; 127 V 377 consid. 5e/bb et les références). Des intérêts ne peuvent être portés en compte pour cause de retard dans le paiement des intérêts moratoires (art. 105 al. 3 CO ; RSAS 2003 p. 500 consid. 6.1). d. Selon la doctrine, le solde reconnu du compte courant étant une créance nouvelle issue de la novation, convenue par avance, il est le fruit d’une convention qui ne peut être anéantie ou modifiée qu’aux conditions des art. 21 (lésion) et 23 ss CO (vices du consentement), la novation étant elle-même réputée être causale, sauf disposition contraire voulue par les parties (Denis PIOTET, Commentaire romand Code des obligations I, 2021, n. 18 ad art. 117 CO). À teneur de la jurisprudence fédérale, dans des relations contractuelles complexes, il est possible de revenir sur un article comptabilisé à tort lors du bouclement du compte, en cas de vice du consentement (ATF 127 III 147 consid. 2d et e ; 135 V 113 consid. 3.6 ; ATAS/721/2018 du 22 août 2018 consid. 7c/cc ; ATAS/292/2014 du 12 mars 2014 consid. 6). e. Les institutions de prévoyance ont des frais administratifs, pour le financement desquels elles peuvent prévoir des cotisations et adopter des dispositions dans leurs règlements (cf. art. 65 al. 3 LPP et 48a de l’ordonnance sur la prévoyance professionnelle vieillesse, survivants et invalidité, du 18 avril 1984 [OPP 2 - RS 831.441.1] ; Jürg BRECHBÜHL/Lara FRETZ respectivement Maya GECKELER HUNZIKER [traduction], in Jacques-André SCHNEIDER/Thomas GEISER/Thomas GÄCHTER, Commentaire LPP et LFLP, 2020, n. 35ss. ad art. 65 LPP et n. 5ss. ad art. 66 LPP ; aussi ATAS/1055/2021 du 13 octobre 2021 consid. 5d). f. Des intérêts ne peuvent être portés en compte pour cause de retard dans le paiement des intérêts moratoires (art. 105 al. 3 CO).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(Luc THÉVENOZ, in Commentaire romand, Code des obligations I, 2021, n. 6 et 7 ad art. 105 CO, et les références ; aussi ATAS/1055/2021 précité consid. 5c). Cela étant, l'interdiction de l'anatocisme n'est pas applicable aux contrats de compte courant (art. 314 al. 3 CO). Il est précisé que les frais de poursuite sont d'office supportés par le débiteur lorsque la poursuite aboutit ( ATAS/1055/2021 précité consid. 16c ; JdT 1974 III 32). Il n'y a donc effectivement pas lieu de prononcer la mainlevée définitive pour les frais du commandement de payer, dont le sort suit celui de la poursuite (art. 68 LP ; arrêt du Tribunal fédéral 5A_8/2008 du 11 avril 2008 consid. 4 ; ATAS/1055/2021 précité consid. 16c). À teneur de l’art. 88 al. 2 LP, le droit du créancier de requérir la continuation de la poursuite se périme par un an à compter de la notification du commandement de payer. Si une opposition a été formée, ce délai ne court pas entre l’introduction de la procédure judiciaire ou administrative et le jugement définitif.</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Pierre-Robert GILLIÉRON,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w:t>
      </w:r>
    </w:p>
    <w:p>
      <w:r>
        <w:rPr>
          <w:b/>
        </w:rPr>
        <w:t>E. 5</w:t>
      </w:r>
    </w:p>
    <w:p>
      <w:r>
        <w:t>![endif]&gt;![if&gt;</w:t>
      </w:r>
    </w:p>
    <w:p>
      <w:r>
        <w:rPr>
          <w:b/>
        </w:rPr>
        <w:t>E. 5.1</w:t>
      </w:r>
    </w:p>
    <w:p>
      <w:r>
        <w:t>En l'espèce, la chambre de céans tient pour établi qu'en sa qualité d'employeur occupant des salariés, la défenderesse devait obligatoirement être affiliée à une caisse de prévoyance professionnelle, ce qui du reste n'est pas contesté.![endif]&gt;![if&gt;</w:t>
      </w:r>
    </w:p>
    <w:p>
      <w:r>
        <w:rPr>
          <w:b/>
        </w:rPr>
        <w:t>E. 5.2</w:t>
      </w:r>
    </w:p>
    <w:p>
      <w:r>
        <w:t>Il ressort de l'ensemble des pièces produites par la demanderesse que la défenderesse est demeurée débitrice à son encontre d'un montant de CHF 15'775.50 correspondant aux cotisations des employés dues à la défenderesse. En outre, la simple passivité de la débitrice, celle-ci n'ayant réagi ni aux sommations de la fondation, ni à celles de la Cour de céans, ne saurait empêcher la fondation d'engager et de continuer des procédures de recouvrement afin d'obtenir la reconnaissance de ses droits (ATA J. du 5 septembre 1995).![endif]&gt;![if&gt;</w:t>
      </w:r>
    </w:p>
    <w:p>
      <w:r>
        <w:rPr>
          <w:b/>
        </w:rPr>
        <w:t>E. 5.3</w:t>
      </w:r>
    </w:p>
    <w:p>
      <w:r>
        <w:t>En l’espèce, la demande a été formée dans le délai de prescription de cinq ans. Le commandement de payer a été notifié à la défenderesse le 30 novembre 2022, date à laquelle le délai de péremption d’un an de l’art. 88 al. 2 LPP a commencé à courir. Par conséquent, celui-ci n’était pas atteint lorsque la demanderesse a saisi la Cour de céans, le 23 décembre 2022, ce délai ne courant par ailleurs pas durant la présente procédure judiciaire vu l'opposition de la société.![endif]&gt;![if&gt;</w:t>
      </w:r>
    </w:p>
    <w:p>
      <w:r>
        <w:rPr>
          <w:b/>
        </w:rPr>
        <w:t>E. 5.4</w:t>
      </w:r>
    </w:p>
    <w:p>
      <w:r>
        <w:t>Aux termes du ch. 2.1 des conditions de la convention, « les droits et les devoirs respectifs des parties contractantes ressortent des dispositions de la présente convention d'affiliation, ainsi que de celles du règlement pour frais de gestion, de l'acte de fondation, du règlement électoral et du règlement d'organisation ».![endif]&gt;![if&gt; Les obligations de la défenderesse relatives au « paiement des cotisations/échéances » sont précisées au chapitre 5 (ch. 5.1 à 5.7) des conditions de la convention. En particulier, à teneur du ch. 5.1, « l'employeur s'engage à verser les contributions facturées par [la fondation] ». Selon le ch. 5.4, « tout solde en faveur de la [fondation] à la fin d'une année, ainsi que les intérêts débiteurs, sont reportés à l'année civile suivante à titre de créance en capital. Tout solde en faveur de l'entreprise affiliée, y compris les intérêts éventuels créditeurs sont comptabilisés à titre de paiement d'acompte pour les contributions de l'année suivante » (al. 3). « Pour la fin de l'année civile, la [fondation] établit un relevé du compte d'encaissement. Le solde indiqué sur ce relevé sera considéré comme approuvé dans la mesure où l'entreprise affiliée ne le conteste pas par écrit dans un délai de 4 semaines après réception du relevé » (al. 4). Par ailleurs, le chapitre 7 des conditions de la convention traite de la « mise en vigueur/résiliation/dissolution », le ch. 7.3 réglant en particulier le droit de résiliation avec effet immédiat « en cas de retard de paiement ou en cas de non-respect des obligations concernant la coopération ». Le règlement pour frais de gestion, qui fait partie intégrante de la convention (ch. 2.1 des conditions de la convention), prévoit le montant des frais pour des cotisations encore impayées, relatifs à la « sommation par lettre signature en rapport avec le paiement des cotisations arriérées encore dues » de CHF 300.-, au « plan d'amortissement » de CHF 250.-, et aux « poursuites (non compris les frais officiels) », soit la « réquisition de poursuite » sans montant indiqué, la « réquisition de continuer la poursuite » à hauteur de CHF 500.- et la « réquisition de faillite, resp. de réalisation de gage » à concurrence de CHF 500.- (ch. 2 al. 1). En l’espèce, le solde en faveur de la fondation de CHF 15'775.50, selon l'extrait de compte du 7 décembre 2022, comprend les cotisations dues jusqu’au 1 er mai 2019 – date de prise d’effet de la résiliation de la convention, ainsi que les frais de poursuites et les intérêts. La défenderesse n’ayant fait valoir aucun élément permettant de faire apparaître la demande de mainlevée comme contestable, il y a lieu d'admettre celle-ci et de prononcer la mainlevée définitive de l'opposition au commandement de payer. En ce qui concerne les frais et dépens de la cause, l'art. 73 al. 2 LPP précise que les cantons doivent prévoir une procédure simple, rapide et, en principe, gratuite. L'art. 89H al. 1 de la loi sur la procédure administrative du 12 septembre 1985 (LPA - E 5 10) prévoit quant à lui que la procédure est gratuite pour les parties.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