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A/4387/2020 vom 22. Dezember 2021</w:t>
      </w:r>
    </w:p>
    <w:p>
      <w:r>
        <w:t>GE Cour de justice, 2021-12-22, FR</w:t>
      </w:r>
    </w:p>
    <w:p>
      <w:r>
        <w:rPr>
          <w:b/>
        </w:rPr>
        <w:t xml:space="preserve">Quelle: </w:t>
      </w:r>
      <w:r>
        <w:t>https://mcp.opencaselaw.ch/entscheid/ge_gerichte_A_4387_2020</w:t>
      </w:r>
    </w:p>
    <w:p>
      <w:r>
        <w:t>FR: GE_GERICHTE A/4387/2020 du 22 décembre 2021</w:t>
      </w:r>
    </w:p>
    <w:p>
      <w:r>
        <w:t>IT: GE_GERICHTE A/4387/2020 del 22 dicembre 2021</w:t>
      </w:r>
    </w:p>
    <w:p>
      <w:pPr>
        <w:pStyle w:val="Heading2"/>
      </w:pPr>
      <w:r>
        <w:t>Erwägungen</w:t>
      </w:r>
    </w:p>
    <w:p>
      <w:r>
        <w:rPr>
          <w:b/>
        </w:rPr>
        <w:t>E. 8</w:t>
      </w:r>
    </w:p>
    <w:p>
      <w:r>
        <w:t>septembre 2021 de la chambre de céans. 23.    Par écritures du 24 septembre 2021, l'intimé a conclu à la restitution de CHF 10'072.- et a produit les pièces utiles au calcul de la restitution. Le montant des prestations versées à tort était de CHF 16'388.-. Compte tenu des remboursements effectués par le Service des prestations complémentaires (ci-après: SPC) et l'Hospice général, respectivement en octobre 2020 et en juin 2021, le solde s'élevait à CHF 10'072.-. 24.    Selon le rapport du 11 octobre 2021 du docteur F______, spécialiste FMH en médecine interne et maladies rhumatismales, la recourante se plaignait de douleurs diffuses. Le traitement comprenait les médicaments Saroten, Paracétamol, AINS et Tramal, mais avait été stoppé à cause de sa grossesse (troisième mois). Seule la chaleur et certaines techniques manuelles douces chez des physiothérapeutes la soulageaient momentanément. Un état d'épuisement chronique associé à des troubles du sommeil et des difficultés de concentration accompagnait des céphalées et des douleurs du tronc et des quatre membres. L'intensité des douleurs était de 8/10 sur l'échelle des douleurs sans traitement et de 6/10 avec traitement. À défaut d'éléments biologiques spécifiques pour une affection de type inflammatoire et de trouvailles cliniques spécifiques pour une maladie immuno-rhumatologique de type de connectivité, après douze ans d'évolution, le diagnostic de fibromyalgie devait être retenu. 25.    Le 17 novembre 2021, le Dr E______ a attesté que la recourante souffrait depuis début novembre 2021 d'un œdème de surcharge des os du pied associé à une bursite et qu'elle marchait depuis sept jours avec des cannes pour une durée d'au moins huit semaines. 26.    Lors de l'audition de la recourante en date du 19 novembre 2021, celle-ci a requis que l'intimé ouvrît une instruction concernant l'aggravation de son état de santé, en cas de rejet du recours. Quant à l'intimé, il a considéré que les nouvelles affections dont le Dr E______ faisait état, ne provoquaient en principe pas une incapacité de travail durable. La recourante a en outre précisé que sa quatrième grossesse, ainsi que l'actuelle n'avaient pas été voulues. En raison des douleurs dont elle souffrait et qui l'empêchaient totalement de travailler, elle n'aurait pas envisagé d'avoir plus d'enfants après son troisième. S'agissant de la demande de restitution, elle s'est rapportée à justice. Elle avait informé le SPC de la nouvelle décision de l'intimé, mais ledit service n'avait pas augmenté ses prestations. Selon l'intimé, il serait compliqué, en cas de rejet du recours, de compenser sa créance en restitution avec le droit de la recourante à une augmentation des prestations complémentaires. 27.    À l'issue de l'audience,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 délai de recours est de trente jours (art. 56 LPGA; art. 62 al. 1 de la de loi sur la procédure administrative du 12 septembre 1985 [LPA - E 5 10]). Interjeté dans la forme et le délai prévus par la loi, le recours est recevable. 5.        L'objet du litige est en l'occurrence le droit à la rente de la recourante, sur la base d'un statut mixte, ainsi que l'obligation de restituer le montant de CHF 9'580.- à titre de prestations indûment perçues, suite à la reconsidération de la décision pendente lite par l'intimé. a. Dans ses dernières conclusions, l'intimé conclut à ce que la recourante soit condamnée à la restitution de CHF 10'072.-, au motif que son calcul précédent était erroné. Dans le cadre de l’art. 53 al. 3 LPGA, l’autorité peut revoir sa décision en faveur du recourant pendente lite, sans être liée par les conditions restrictives de la reconsidération d’une décision entrée en force (cf. art. 53 al. 2 LPGA). Lorsque la décision est reconsidérée au détriment de la personne assurée, elle constitue cependant seulement une simple proposition à l'autorité de recours, proposition qui ne la lie pas. Si le juge a l'intention de suivre la proposition, le recourant doit être averti de la reformatio in pejus, afin de pouvoir retirer son recours (CR LPGA – Margit MOSER-SZELESS, ad art. 53 N 107 et 108). b. La recourante se prévaut par ailleurs d'une aggravation de son état de santé postérieurement à la décision litigieuse.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Cela étant, il n'y a pas lieu de tenir compte de l'aggravation de santé de l'état de santé de la recourante après la décision du 12 mai 2021.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Par son arrêt du 14 mai 2020, la chambre de céans a admis un statut mixte de la recourante à raison de 50% dans le ménage et 50% dans l'activité professionnelle. Ce statut n'est au demeurant pas contesté. Ce jugement comporte une reformatio in pejus prévisible, du fait de l'admission d'un statut mixte par rapport à une personne active à 100%, et a conduit à une modification de la décision initiale au détriment de la recourante, dès lors que la demi-rente a été réduite à un quart de rente, sans qu'il lui ait été donné la possibilité de retirer son recours, conformément à l'art. 61 let. d LPGA. Néanmoins, la recourante ne s'est pas prévalue de cette violation de la procédure et, dans la mesure où l'arrêt du 14 mai 2020 étant entré en force, la chambre de céans y est liée. 12.    a. En ce qui concerne la capacité de travail, la chambre de céans a constaté dans son arrêt précité que celle-ci était de 50% dès 2012, sur la base de l'examen du SMR du 25 janvier 2018. Comme relevé ci-dessus, ce premier jugement lie la chambre de céans. Il y a par conséquent uniquement à examiner si l'état de santé de la recourante s'est aggravé entre la décision de rente du 7 mars 2019 et celle du 12 mai 2021 et si cette aggravation a une répercussion sur sa capacité de travail. b. À cet égard, la recourante se prévaut de ce qu'elle ne peut plus lever les bras au-dessus de l'horizontale, selon le rapport du 24 septembre 2019 du Dr E______. Selon les examinateurs du SMR, la recourante présente les limitations suivantes: nécessité de pouvoir alterner deux fois par heure les positions assise et debout, pas de soulèvement régulier de charges d'un poids excédant 5 kg, pas de port régulier de charges d'un poids excédant 8 kg, pas de travail en porte-à-faux statique prolongé du tronc, pas d'exposition à des vibrations, pas de mouvements répétés de flexion-extension de la nuque, pas de rotation rapide de la tête, pas de position prolongée en flexion ou extension de la nuque; en ce qui concernait les membres inférieurs : pas de génuflexions répétées, pas de franchissement régulier d'escaliers, d'escabeau ou échelle, pas de marche en terrain irrégulier, pas de travail en hauteur, pas de position debout ou de marche de plus d’un quart d'heure. Au vu de ces atteintes, seul un travail léger permettant l'alternance des positions assise/debout est envisageable. Or, dans une telle activité, il n'est en principe pas nécessaire de lever les bras au-dessus de l'horizontale. En tout état de cause, cette limitation est bel et bien mentionnée par les médecins du SMR, dès lors qu'ils proscrivent le travail en hauteur. En ce qui concerne le ménage, cette limitation a également été prise en compte. Il est en effet mentionné dans le rapport d'enquête, au ch. 5.4 concernant le poste de lessive et d'entretien des vêtements, que la recourante demande régulièrement l'aide à l'ainé de ses enfants pour transvaser le linge lavé dans le séchoir situé au-dessus de la machine à laver, dès lors que cela lui fait mal aux épaules et que les mouvements du bras sont limités à la hauteur de l'épaule. Pour le surplus, comme relevé par l'intimé, le Dr E______ ne fait pas état de nouveaux diagnostics et d'une évolution des atteintes à la date de la décision litigieuse. Par conséquent, une aggravation avec répercussion sur la capacité de travail entre la date de la décision du 7 mars 2019 et la date de la décision dont est recours ne peut pas être constatée. 13.    S'agissant des empêchements dans le ménage, la recourante conteste le rapport d'enquête économique.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14.    a. En l'espèce, comme relevé par l'intimé, l'enquête a été effectuée par une personne spécialisée dans ce genre d'examen au domicile de la recourante. Rien n'indique qu'une tierce personne ait par la suite établi les pondérations et pourcentages des handicaps. Les informations données par la recourante sur ses limitations dans le ménage ont été consignées de manière complète dans le rapport, en présence de son mari, de ses enfants et de son médecin traitant. Au demeurant, la recourante n'allègue pas que ses déclarations aient été reproduites de façon erronée ou incomplète. Il s'agit donc, contrairement aux dires de la recourante, d'un rapport détaillé. L'enquêtrice a également pris connaissance du dossier médical et tenu compte des handicaps et empêchements résultant des diagnostics médicaux. À titre de diagnostics, elle a mentionné les atteintes suivantes: talalgies bilatérales sur éperons calcanéens bilatéraux et fascéite plantaire bilatérale, fibromyalgie, rachialgies diffuses, cervicoscapulalgies, syndrome rotulien bilatéral, dysthymie avec épuisement physique et psychique. Il s'agit des diagnostics principaux retenus par les médecins, la plupart avec répercussion sur la capacité de travail, et non pas d'une sélection de diagnostics, comme la recourante le fait valoir. L'enquêtrice a également précisé que la liste des diagnostics n'était pas exhaustive, tout en relevant qu'elle avait pris connaissance de l'ensemble des pièces médicales du dossier. Par ailleurs, la recourante n'indique pas quel diagnostic avec des répercussions importantes sur la capacité de travail n'aurait pas été mentionné dans le rapport d'enquêtes. Enfin, peu importe que l'enquêtrice ne soit éventuellement pas en mesure de comprendre toute la complexité de la fibromyalgie, dès lors que son enquête ne constitue pas une évaluation médicale. Elle doit uniquement constater les limitations fonctionnelles dans le ménage rapportées par la personne assurée et évaluer si celles-ci sont en rapport avec les diagnostics et handicaps retenus par les médecins. Ce grief est donc infondé. Quoi qu'il en soit, l'enquêtrice a tenu compte en l'occurrence de toutes les limitations rapportées par la recourante et a donc considéré que celles-ci étaient sans exception en rapport avec les diagnostics posés. Le rapport est également motivé, dans la mesure où il explique le pourcentage des empêchements sur la base des déclarations de la recourante et la pondération par l'aide exigible apportée par son mari. Les pourcentages paraissent tout à fait plausibles au vu des indications de la recourante. Partant, à la forme, une pleine valeur probante doit être accordée à ce rapport. b. Concernant l'aide apportée par la famille, l'enquêtrice a pris en considération uniquement celle de l'époux de la recourante, contrairement aux dires de celle-ci. S'il est mentionné dans l'enquête que les travaux que la recourante ne peut accomplir sont exécutés par son époux et sa sœur, cela correspond aux déclarations de la recourante. Dans le commentaire sur l'exigibilité retenue, l'enquêtrice indique qu'il s'agit uniquement de l'aide de l'époux, tout en indiquant que celui-ci est parfois amené à voyager en Suisse pour son travail et qu'il a des horaires variables, mais qu'il amène néanmoins les enfants à l'école le matin et qu'il a pu avoir un horaire allégé le mercredi pour assurer les activités extra-scolaires des ainés. Il paraît en outre plausible que l'aide apportée et exigible du mari représente 23,5% de la totalité des activités du ménage, ainsi que de l'éducation et des soins apportés aux enfants. En effet, comme mentionné ci-dessus, il accompagne les enfants à l'école chaque matin, sauf s'il a des obligations professionnelles, et les véhicule le mercredi pour qu'ils puissent pratiquer divers sports. Il amène aussi la plupart du temps le soir des repas à l'emporter pour le souper de la famille et cuisine parfois, notamment le week-end, aide parfois pour éplucher des légumes, s'occupe de la vaisselle et du rangement quotidien de la cuisine le soir, change et lave les draps, nettoie la baignoire, les toilettes et sporadiquement les vitres. A cela s'ajoute qu'il vide la poubelle et va à la déchetterie, fait toutes les deux semaines les grandes courses et accomplit les démarches administratives. Enfin, la recourante elle-même admet dans son recours, de façon contradictoire, que son mari assume l'essentiel des activités ménagères, quoique de façon superficielle (p. 3 du recours). c. La recourante critique l'exigibilité de son époux de 20% retenue pour le poste de l'alimentation, dès lors que ce dernier n'est jamais présent en semaine pour cuisiner à midi et rarement le soir. Il n'en demeure pas moins que, selon les déclarations de la recourante, celui-ci s'occupe régulièrement des repas du soir et pendant le week-end, fait la vaisselle, range et nettoie la cuisine tous les soirs. Cela étant, il est tout à fait vraisemblable que cela représente un cinquième des travaux nécessaires pour l'alimentation. d. Quant à l'erreur de calcul concernant le poste "lessive et entretien des vêtements", la chambre de céans n'a pas pu la constater. En effet, les empêchements de 40% pour ce poste doivent être pondérés à 30%, compte tenu de l'aide apportée par le mari de 10%. Par ailleurs, ce poste représente 15% du champ d'activité total. Or, 30% de 15% donnent un empêchement pondéré de 4,5%. Au demeurant, cette erreur aurait profité à la recourante. e. Cela étant, une pleine valeur probante peut être attribuée au rapport d'enquête économique sur le ménage. Ainsi, il y a lieu de retenir que l'empêchement dans le ménage, pondéré par l'aide du mari, est de 31,5%. 15.    Reste à calculer la perte de gain de la recourante dans l'exercice d'une activité adaptée par rapport à sa précédente activité de serveuse. a.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16.    Selon l’art. 27 bis RAI en vigueur depuis le 1 er janvier 2018, pour les personnes qui exercent une activité lucrative à temps partiel et accomplissent par ailleurs des travaux habituels visés à l'art. 7 al. 2 LAI,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17.    En l'espèce, l'intimé a calculé le droit à une rente en premier lieu selon l'art. 27bis RAI en vigueur jusqu'au 31 décembre 2017. Selon ce calcul, la recourante n'a droit à aucune rente. Dans un second calcul, l'intimé a établi le droit aux prestations en application de la nouvelle teneur de l'art. 27bis RAI, valable depuis le 1 er janvier 2018, et octroyé à la recourante un quart de rente. Comme relevé ci-dessus, jusqu'au 31 décembre 2017, le revenu sans invalidité était établi sur la base du revenu correspondant au taux d’occupation de l’assuré. Partant, étaient comparés le revenu de valide et celui d'invalide à ce taux, soit en l'occurrence de 50%. 18.    La recourante estime en premier lieu qu'il faut prendre, pour la comparaison des revenus, les mêmes salaires statistiques, dès lors qu'elle était sans emploi au moment de la survenance de l'invalidité. a. Cette question peut rester ouverte, dès lors qu'elle est sans incidence sur le droit à la rente. En effet, selon l'art. 27bis RAI dans sa teneur valable dès le 1 er janvier 2018, en admettant que le salaire sans invalidité en 2018 doit être déterminé à CHF 54'681.-, tout comme le salaire d'invalide, la perte de gain serait de 55% au taux d'activité de 50%, avec un abattement de 10%. Partant, le degré d'invalidité serait de 27,5% dans la sphère professionnelle (55% : 2) et de 15,75% dans le ménage (31,5% : 2). L'addition de ces taux donne un degré d'invalidité global de 43,25%, ce qui ne donne toujours pas droit à une rente supérieure à un quart. b. En application de l'art. 27bis RAI dans son ancienne teneur, sur la base d'un même salaire à 50% de CHF 24'857.- pour le revenu avec et sans atteinte à la santé et un abattement de 10% du salaire statistique à titre de revenu d'invalide, la perte de gain serait de 10%. Pour le calcul du degré d'invalidité global, 50% de 10% de la perte de gain, soit 5%, doivent être additionnés aux 50% du degré d'invalidité dans les travaux habituels de 15,75% (31,5% : 2). Ainsi, le degré d'invalidité global, de 20,75%, est inférieur à 40% et ne donne pas droit à une rente. 19.    Quant au taux d'abattement des salaires statistiques pris à titre de salaire d'invalide, la recourante fait valoir qu'il doit être de 25% compte tenu de ses douleurs constantes et invalidantes, ainsi que de sa fatigue, considérablement accrue par ses responsabilités maternelles avec quatre enfants, dont l'ainé est né en 2010. Toutefois, il est déjà tenu compte des douleurs et de la fatigue dans la détermination de la capacité de travail à 50% par les médecins du SMR. Par ailleurs, l'intimé a également pris en considération les limitations fonctionnelles de la recourante, en admettant un abattement de 10%. Il n'y a pas d'autres éléments qui pourrait justifier un abattement supérieur, la recourante étant encore relativement jeune, au bénéfice d'un permis C et maitrisant bien le français. En tout état de cause, même en appliquant un abattement de 25% et un salaire sans invalidité égal au salaire statistique retenu à titre de salaire d'invalide, le taux d'invalidité global serait toujours inférieur à 50%, en application de l'art. 27bis RAI dans la nouvelle teneur. En effet, avec un abattement de 25 %, le salaire d'invalide se déterminerait à CHF 20'505.- en chiffres ronds (50% de CHF 54'681.- moins 25%), ce qui représente un taux d'invalidité dans la sphère professionnelle de 62,5% ([54'681 – 20'505] x 100 : 54681], lequel doit être réduit de moitié compte tenu du statut mixte. Partant, ce taux est de 31,25% dans le domaine professionnel et de 15,75% dans le ménage. Le taux global est par conséquent de 47%. En application de l'art. 27bis RAI valable avant le 1 er janvier 2018, le degré d'invalidité serait de 25% dans la sphère professionnelle, sur la même base de calcul (50% moins 25%). Compte tenu d'une activité lucrative à 50%, une perte de gain de seulement 12,25% doit être prise en compte, selon l'ancien calcul. Additionnée aux 50% du degré d'empêchement dans le ménage, soit de 15,75%, le degré d'invalidité global, de 28%, reste toujours inférieur à 40% et ne donne par conséquent pas droit à une rente. Cela étant, le calcul du degré d'invalidité de l'intimé doit être confirmé. 20.    L'intimé demande également à la recourante la restitution de CHF 10'072.- à titre de prestations indûment perçues durant la période de février 2017 à décembre à novembre 2020, selon ses dernières conclusions. a. Selon l'art. 25 al. 1 LPGA, en relation avec l'art. 2 al. 1 let. a de l'ordonnance sur la partie générale du droit des assurances sociales du 11 septembre 2002 (OPGA ; RS 830.11), les prestations indûment touchées doivent être restituées par le bénéficiaire ou par ses héritiers. La restitution ne peut être exigée lorsque l’intéressé était de bonne foi et qu’elle le mettrait dans une situation difficile.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b. En l'occurrence, la demande de restitution, par décision du 24 décembre 2020 pour des prestations indûment perçues depuis février 2017, n'est pas périmée. Il s'avère par ailleurs que le dernier calcul de l'intimé est exact. En effet, la recourante a reçu la somme de CHF 35'242.- à titre de rentes pour elle-même et ses enfants durant la période de février 2017 à novembre 2020. Or, elle n'avait droit qu'à CHF 18'898.- de janvier à novembre 2020. Compte tenu des remboursements des prestations par le SPC (CHF 912.-) et l'Hospice général (CHF 5'404.-), il reste un solde de CHF 10'072.-. c. Le montant à restituer est supérieur à celui ressortant de la dernière décision du 12 mai 2021, suite à sa reconsidération pendente lite, dans laquelle l'intimé a réclamé la restitution de CHF 9'580.-. Toutefois, compte tenu des circonstances du cas (différence relativement peu élevée, reformatio in pejus de la décision du 7 mars 2019, en violation probable de la procédure en la matière, et bonne foi de la recourante), la chambre de céans renonce, comme elle en a la faculté, à une reformatio in pejus (ATF 119 V 249 consid. 5). d. Partant, la recourante est tenue de rembourser la somme de CHF 9'580.-. À cet égard, il y a lieu de la rendre attentive à la possibilité de demander une remise de l'obligation de restitution, conformément à l'art. 25 al. 1 2 ème phrase LPGA, en démontrant sa bonne foi et sa situation difficile. Selon l'art. 4 al. 4 de l'ordonnance sur la partie générale du droit des assurances sociales du 11 septembre 2002 (OPGA - RS 830.11), la demande de remise doit être présentée par écrit. Elle doit être motivée, accompagnée des pièces nécessaires et déposée au plus tard 30 jours à compter de l’entrée en force de la décision de restitution (al. 4). 21.    Au vu de ce qui précède, le recours sera rejeté et la décision du 12 mai 2021 confirmée. 22.    Dans la mesure où la recourante plaide au bénéfice de l'assistance juridique, il sera renoncé à la perception d'un émolument de justice.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