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A/436/2004 vom 27. Mai 2004</w:t>
      </w:r>
    </w:p>
    <w:p>
      <w:r>
        <w:t>GE Cour de justice, 2004-05-27, FR</w:t>
      </w:r>
    </w:p>
    <w:p>
      <w:r>
        <w:rPr>
          <w:b/>
        </w:rPr>
        <w:t xml:space="preserve">Quelle: </w:t>
      </w:r>
      <w:r>
        <w:t>https://mcp.opencaselaw.ch/entscheid/ge_gerichte_A_436_2004</w:t>
      </w:r>
    </w:p>
    <w:p>
      <w:r>
        <w:t>FR: GE_GERICHTE A/436/2004 du 27 mai 2004</w:t>
      </w:r>
    </w:p>
    <w:p>
      <w:r>
        <w:t>IT: GE_GERICHTE A/436/2004 del 27 maggio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26.05.2004 A/436/2004</w:t>
      </w:r>
    </w:p>
    <w:p>
      <w:r>
        <w:t>A/436/2004 ATAS/399/2004 du 26.05.2004 ( AI ) , RETIRE RÉPUBLIQUE ET CANTON DE GENÈVE POUVOIR JUDICIAIRE A/436/2004 ATAS/399/2004 ARRÊT DU TRIBUNAL CANTONAL DES ASSURANCES SOCIALES du 27 mai 2004 3ème Chambre En la cause Madame Y__________, comparant par Me Christine SORDET en l’Etude de laquelle elle élit domicile recourante contre OFFICE CANTONAL DE L’ASSURANCE-INVALIDITE, rue de Lyon 97 à Genève intimé ATTENDU EN FAIT Que par décision sur opposition du 3 février 2004, l'Office cantonal de l'assurance-invalidité (OCAI) a rejeté la demande de rente déposée par Madame Y__________; Que cette dernière a interjeté recours contre cette décision ; Que par courrier du 17 mai 2004, la recourante a cependant indiqué retirer son recours ; Qu’il y a lieu d’en prendre acte et de radier l’affaire du rôle ; PAR CES MOTIFS, LE TRIBUNAL CANTONAL DES ASSURANCES SOCIALES : Statuant, conformément à la disposition transitoire de l’art. 162 LOJ Prend acte du retrait du recours ; Raye la cause du rôle ; La greffière : Janine BOFFI La Présidente : Karine STECK Une copie conforme du présent arrêt est notifiée aux parties ainsi qu'à l'Office fédéral des assurances sociales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