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A/4366/2005 vom 14. Februar 2006</w:t>
      </w:r>
    </w:p>
    <w:p>
      <w:r>
        <w:t>GE Cour de justice, 2006-02-14, FR</w:t>
      </w:r>
    </w:p>
    <w:p>
      <w:r>
        <w:rPr>
          <w:b/>
        </w:rPr>
        <w:t xml:space="preserve">Quelle: </w:t>
      </w:r>
      <w:r>
        <w:t>https://mcp.opencaselaw.ch/entscheid/ge_gerichte_A_4366_2005</w:t>
      </w:r>
    </w:p>
    <w:p>
      <w:r>
        <w:t>FR: GE_GERICHTE A/4366/2005 du 14 février 2006</w:t>
      </w:r>
    </w:p>
    <w:p>
      <w:r>
        <w:t>IT: GE_GERICHTE A/4366/2005 del 14 febbraio 2006</w:t>
      </w:r>
    </w:p>
    <w:p>
      <w:pPr>
        <w:pStyle w:val="Heading2"/>
      </w:pPr>
      <w:r>
        <w:t>Erwägungen</w:t>
      </w:r>
    </w:p>
    <w:p>
      <w:r>
        <w:rPr>
          <w:b/>
        </w:rPr>
        <w:t>E. 2</w:t>
      </w:r>
    </w:p>
    <w:p>
      <w:r>
        <w:t>Selon le dossier produit par le service des automobiles et de la navigation (ci-après : le SAN), ce conducteur n’a aucun antécédent en matière de circulation routière.</w:t>
      </w:r>
    </w:p>
    <w:p>
      <w:r>
        <w:rPr>
          <w:b/>
        </w:rPr>
        <w:t>E. 3</w:t>
      </w:r>
    </w:p>
    <w:p>
      <w:r>
        <w:t>Le 17 mars 2005, à 15h11, l’intéressé circulait en voiture sur la route de la Capite en direction de la Capite à 75 km/h, marge de sécurité déduite, à un endroit où la vitesse était limitée à 50 km/h. Ainsi, le dépassement a été de 25 km/h.</w:t>
      </w:r>
    </w:p>
    <w:p>
      <w:r>
        <w:rPr>
          <w:b/>
        </w:rPr>
        <w:t>E. 4</w:t>
      </w:r>
    </w:p>
    <w:p>
      <w:r>
        <w:t>Invité par le SAN à produire des observations, M. C__________ a indiqué, le 15 novembre 2005, qu’il ne contestait pas l’excès de vitesse qui lui était reproché. Cependant, en sa qualité de chauffeur particulier, son permis représentait son outil de travail. S’il devait en être privé, il perdrait son emploi, son patron n’ayant pas d’autre chauffeur que lui-même.</w:t>
      </w:r>
    </w:p>
    <w:p>
      <w:r>
        <w:rPr>
          <w:b/>
        </w:rPr>
        <w:t>E. 5</w:t>
      </w:r>
    </w:p>
    <w:p>
      <w:r>
        <w:t>Par arrêté du 22 novembre 2005, le SAN a retiré le permis de conduire de M. C__________ pendant trois mois, en application de l’article 16c de la loi fédérale sur la circulation routière du 12 décembre 1958 (LCR - RS 741.01). Compte de l’ensemble des circonstances, plus particulièrement du besoin professionnel allégué et de la bonne réputation de l’intéressé en tant que conducteur automobile, le SAN s’en est tenu au minimum légal.</w:t>
      </w:r>
    </w:p>
    <w:p>
      <w:r>
        <w:rPr>
          <w:b/>
        </w:rPr>
        <w:t>E. 6</w:t>
      </w:r>
    </w:p>
    <w:p>
      <w:r>
        <w:t>a. Par courrier du 30 novembre 2005, M. C__________ a sollicité le report de l’exécution de la mesure au mois d’août 2006. Il a également informé l’autorité qu’il allait recourir contre la décision en question auprès du Tribunal administratif, car la sanction était particulièrement injuste et disproportionnée. b. Le 5 décembre 2005, le SAN a autorisé l’intéressé à déposer son permis le 1 er août 2006. Ce délai était tout à fait exceptionnel, le SAN n’accordant généralement pas de délais excédant six mois.</w:t>
      </w:r>
    </w:p>
    <w:p>
      <w:r>
        <w:rPr>
          <w:b/>
        </w:rPr>
        <w:t>E. 7</w:t>
      </w:r>
    </w:p>
    <w:p>
      <w:r>
        <w:t>Par acte mis à La Poste le 12 décembre 2005, M. C__________ a saisi le Tribunal administratif d’un recours en concluant à l’annulation de la mesure prise à son encontre. Il a repris les arguments qu’il avait exposés devant le SAN, s’agissant notamment de ses besoins professionnels de chauffeur privé aux antécédents irréprochables. Sans permis de conduire, il perdrait tout simplement son emploi, ce qui était « particulièrement injuste, inéquitable et manifestement disproportionné ».</w:t>
      </w:r>
    </w:p>
    <w:p>
      <w:r>
        <w:rPr>
          <w:b/>
        </w:rPr>
        <w:t>E. 8</w:t>
      </w:r>
    </w:p>
    <w:p>
      <w:r>
        <w:t>Les parties ont été entendues en comparution personnelle le 16 janvier 2006. a. M. C__________ a confirmé les termes de son recours. Il avait certes roulé trop vite sur la route de la Capite, qu’il connaissait particulièrement bien, car il y passait tous les jours. Il exerçait la profession de chauffeur particulier de sorte que sans permis, il ne pouvait pas travailler, ce qui signifiait, facteur aggravant, qu’il ne pourrait plus réaliser de revenus et subvenir à ses besoins. b. Le SAN a persisté dans la décision entreprise. Compte tenu de la jurisprudence fédérale, il ne disposait plus d’aucune marge de manœuvre pour entrer en matière sur une éventuelle réduction de la durée de la mesure, celle-ci ayant été fixée au minimum légal. En revanche, il pouvait discuter de la date à laquelle le retrait devrait être exécuté. EN DROIT 1. Interjeté en temps utile devant la juridiction compétente, le recours est recevable (art. 56A de la loi sur l'organisation judiciaire du 22 novembre 1941 - LOJ - E 2 05;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25 km/h, après déduction de la marge de sécurité. Même si l’excès de vitesse se situe à l’extrême limite inférieure des cas graves, il s’agit néanmoins d’une infraction de cette catégorie, saisie par l’article 16c alinéa 1 lettre a LCR, qui implique un retrait obligatoire du permis de conduire, minimum trois mois. 4. Le recourant considère que la décision du SAN est particulièrement injuste, inéquitable, manifestement disproportionnée et qu’elle génère au surplus une inégalité devant la loi entre chauffeurs professionnels et non professionnels, les premiers risquant, en plus de la sanction fondée sur la LCR, la perte de leur emploi. Ce raisonnement ne peut être suivi. Le fait qu’un conducteur commettant une infraction soit chauffeur professionnel ou non n’est en effet pas un élément apte à modifier l’appréciation portée sur la gravité de la faute commise. La LCR prévoit que cet élément est pris en compte sous l’aspect des besoins professionnels, qui n’a cependant pas d’influence lorsque la sanction infligée est fixée au minimum prévu par la loi, comme dans la présente espèce. 5. En tous points mal fondé, le recours sera rejeté. Nonobstant l’issue du litige, un émolument réduit, en CHF 200.-,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