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A/4361/2021 vom 6. Juni 2023</w:t>
      </w:r>
    </w:p>
    <w:p>
      <w:r>
        <w:t>GE Cour de justice, 2023-06-06, FR</w:t>
      </w:r>
    </w:p>
    <w:p>
      <w:r>
        <w:rPr>
          <w:b/>
        </w:rPr>
        <w:t xml:space="preserve">Quelle: </w:t>
      </w:r>
      <w:r>
        <w:t>https://mcp.opencaselaw.ch/entscheid/ge_gerichte_A_4361_2021</w:t>
      </w:r>
    </w:p>
    <w:p>
      <w:r>
        <w:t>FR: GE_GERICHTE A/4361/2021 du 6 juin 2023</w:t>
      </w:r>
    </w:p>
    <w:p>
      <w:r>
        <w:t>IT: GE_GERICHTE A/4361/2021 del 6 giugno 2023</w:t>
      </w:r>
    </w:p>
    <w:p>
      <w:pPr>
        <w:pStyle w:val="Heading2"/>
      </w:pPr>
      <w:r>
        <w:t>Erwägungen</w:t>
      </w:r>
    </w:p>
    <w:p>
      <w:r>
        <w:rPr>
          <w:b/>
        </w:rPr>
        <w:t>E. 2</w:t>
      </w:r>
    </w:p>
    <w:p>
      <w:r>
        <w:t>L’objet du litige est la décision de l’autorité intimée du 16 novembre 2021 refusant de transmettre le dossier des recourants au SEM avec un préavis favorable et prononçant leur renvoi de Suisse.![endif]&gt;![if&gt;</w:t>
      </w:r>
    </w:p>
    <w:p>
      <w:r>
        <w:rPr>
          <w:b/>
        </w:rPr>
        <w:t>E. 2.1</w:t>
      </w:r>
    </w:p>
    <w:p>
      <w:r>
        <w:t>Le 1 er janvier 2019 est entrée en vigueur une modification de la loi sur les étrangers du 16 décembre 2005 (LEtr), devenue la LEI, et de l'OASA. Conformément à l'art. 126 al. 1 LEI, les demandes déposées, comme en l'espèce, après le 1 er janvier 2019, sont régies par le nouveau droit (arrêt du Tribunal fédéral 2C_690/2021 du 18 mars 2022 consid. 4).![endif]&gt;![if&gt;</w:t>
      </w:r>
    </w:p>
    <w:p>
      <w:r>
        <w:rPr>
          <w:b/>
        </w:rPr>
        <w:t>E. 2.2</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2.3</w:t>
      </w:r>
    </w:p>
    <w:p>
      <w:r>
        <w:t>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mars 2023 [ci-après : directives LEI] ch. 5.6).![endif]&gt;![if&gt;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2.4</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sous peine de récompenser l'obstination à violer la loi (ATF 130 II 39 consid. 3 ; arrêt du Tribunal fédéral 2D_13/2016 du 11 mars 2016 consid. 3.2</w:t>
      </w:r>
    </w:p>
    <w:p>
      <w:r>
        <w:rPr>
          <w:b/>
        </w:rPr>
        <w:t>E. 2.5</w:t>
      </w:r>
    </w:p>
    <w:p>
      <w:r>
        <w:t>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6c).![endif]&gt;![if&gt;</w:t>
      </w:r>
    </w:p>
    <w:p>
      <w:r>
        <w:rPr>
          <w:b/>
        </w:rPr>
        <w:t>E. 2.6</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3e).![endif]&gt;![if&gt; La question est donc de savoir si, en cas de retour dans le pays d'origine, les conditions de sa réintégration sociale, au regard de la situation personnelle, professionnelle et familiale de l'intéressé, seraient gravement compromises ( ATA/90/2021 précité consid. 3e ; ATA/1162/2020 du 17 novembre 2020 consid. 6b ; arrêts du Tribunal fédéral 2C_621/2015 du 11 décembre 2015 consid. 5.2.1 ; 2C_369/2010 du 4 novembre 2010 consid. 4.1).</w:t>
      </w:r>
    </w:p>
    <w:p>
      <w:r>
        <w:rPr>
          <w:b/>
        </w:rPr>
        <w:t>E. 2.7</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gravité.![endif]&gt;![if&gt;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 3592/2010 du 8 octobre 2012 consid. 6.2 ; ATA/434/2020 du 31 avril 2020 consid. 10).</w:t>
      </w:r>
    </w:p>
    <w:p>
      <w:r>
        <w:rPr>
          <w:b/>
        </w:rPr>
        <w:t>E. 2.8</w:t>
      </w:r>
    </w:p>
    <w:p>
      <w:r>
        <w:t>En l'espèce, le recourant réside en Suisse depuis 2013, son épouse depuis 2018 et leur fils depuis sa naissance en 2019. Pour ce qui est du recourant, même si cette période de dix ans est longue, il convient de fortement la relativiser dans la mesure où ledit séjour a été entièrement effectué dans l'illégalité ou au bénéfice d'une tolérance des autorités de migration, la jurisprudence fédérale citée plus haut n'opérant pas de différence entre ces deux hypothèses, comme semblent le soutenir les recourants. Quant à la durée de séjour totale de la recourante et du fils des recourants, elle ne dépasse pas cinq ans et leur séjour s'est aussi déroulé dans l'illégalité ou au bénéfice d'une simple tolérance des autorités.![endif]&gt;![if&gt; L'intégration professionnelle du recourant peut certes être qualifiée de bonne, puisqu'il travaille depuis plusieurs années pour le même employeur et encadre quelques personnes en tant que chef d'équipe. Il parle aussi couramment le français. Cela étant, s'il n'a pas de dettes, n'a jamais recouru à l’aide sociale et ne semble pas avoir de casier judiciaire, ces éléments relèvent du comportement que l’on est en droit d’attendre de toute personne séjournant dans le pays (arrêts du Tribunal fédéral 2C_779/2016 du 13 septembre 2016 consid. 4.2 ; 2C_789/2014 du 20 février 2015 consid. 2.2.2 ; ATA/1171/2021 du 2 novembre 2021 consid. 8). La recourante n'est par contre pas insérée professionnellement, et si elle s'est inscrite à des cours de français, on ne sait rien de son niveau de maîtrise de la langue. Il n'apparaît en outre pas que les recourants se soient créé des attaches particulièrement étroites avec la Suisse au point de rendre étranger leur pays d'origine. Ils ne prétendent pas s'être investis personnellement, que ce soit dans la vie associative ou dans la culture genevoise. Il ne peut dès lors être retenu qu'ils font preuve d'une intégration sociale exceptionnelle en comparaison avec d'autres étrangers qui travaillent en Suisse depuis plusieurs années (arrêts du TAF F-6480/2016 du 15 octobre 2018 consid. 8.2 ; C-5235/2013 du 10 décembre 2015 consid. 8.2). La présence de divers membres de leur famille en Suisse, au bénéfice d'un droit de présence, ne modifie pas cette appréciation de l’absence d’une intégration exceptionnelle en Suisse. S'agissant de leurs possibilités de réintégration dans leur pays d'origine, les recourants sont nés au Kosovo, dont ils parlent la langue. Ils y ont vécu leur enfance, leur adolescence et une partie de leur vie d'adulte, le recourant étant arrivé en Suisse à l'âge de 25 ans et la recourante de 27 ans. En toute hypothèse, les années que les recourants ont passées en Suisse ne les ont pas rendus étrangers à leur culture d’origine ni à leur langue maternelle. Les recourants sont tous deux jeunes et en bonne santé et, de retour dans leur pays d'origine, ils pourront faire valoir les connaissances linguistiques acquises en Suisse ainsi que, pour le recourant, son expérience professionnelle. Quant au fils des recourants, il est certes né à Genève mais n'est âgé que de 3 ans et n'est pas encore scolarisé, si bien que son sort est encore dépendant de celui de ses parents et que son retour au Kosovo ne saurait constituer pour lui un véritable déracinement. Dans ces circonstances, il n'apparaît pas que les difficultés auxquelles les recourants devront faire face en cas de retour au Kosovo seraient pour eux plus graves que pour la moyenne des étrangers, en particulier des ressortissants kosovars retournant dans leur pays. Les recourants ne présentent donc pas une situation de détresse personnelle au sens de l'art. 30 al. 1 let. b LEI.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toutefois pas le cas en l’espèce. L'autorité intimée était en conséquence fondée à refuser de donner une suite positive à la demande d'autorisation de séjour déposée par les recourants, et l'instance précédente à confirmer ledit refus.</w:t>
      </w:r>
    </w:p>
    <w:p>
      <w:r>
        <w:rPr>
          <w:b/>
        </w:rPr>
        <w:t>E. 3</w:t>
      </w:r>
    </w:p>
    <w:p>
      <w:r>
        <w:t>Reste à examiner la question du renvoi.![endif]&gt;![if&gt;</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ATA/247/2023 du 14 mars 2023 consid. 6.1).![endif]&gt;![if&gt;</w:t>
      </w:r>
    </w:p>
    <w:p>
      <w:r>
        <w:rPr>
          <w:b/>
        </w:rPr>
        <w:t>E. 3.2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3.3</w:t>
      </w:r>
    </w:p>
    <w:p>
      <w:r>
        <w:t>En l'espèce, dès lors qu'il a, à juste titre, refusé une autorisation de séjour aux recourants, l'intimé devait prononcer leur renvoi. Pour le surplus, aucun motif ne permet de retenir que l'exécution du renvoi ne serait pas possible, licite ou ne pourrait raisonnablement être exigé les concernant.![endif]&gt;![if&gt; À cet égard, la référence des recourants à un danger pour leur santé du fait de la pandémie de Covid-19 tombe à faux. Tant la Suisse que le Kosovo ont en effet levé depuis le printemps 2022 les restrictions d'accès à leurs frontières respectives dans ce cadre, et aucun danger particulier n'a récemment été mis en avant par les instances de santé publique tant nationales qu'internationales.</w:t>
      </w:r>
    </w:p>
    <w:p>
      <w:r>
        <w:rPr>
          <w:b/>
        </w:rPr>
        <w:t>E. 4</w:t>
      </w:r>
    </w:p>
    <w:p>
      <w:r>
        <w:t>Vu l’issue du litige, un émolument de CHF 400.- sera mis à la charge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