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A/4356/2005 vom 20. Juli 2005</w:t>
      </w:r>
    </w:p>
    <w:p>
      <w:r>
        <w:t>GE Cour de justice, 2005-07-20, FR</w:t>
      </w:r>
    </w:p>
    <w:p>
      <w:r>
        <w:rPr>
          <w:b/>
        </w:rPr>
        <w:t xml:space="preserve">Quelle: </w:t>
      </w:r>
      <w:r>
        <w:t>https://mcp.opencaselaw.ch/entscheid/ge_gerichte_A_4356_2005</w:t>
      </w:r>
    </w:p>
    <w:p>
      <w:r>
        <w:t>FR: GE_GERICHTE A/4356/2005 du 20 juillet 2005</w:t>
      </w:r>
    </w:p>
    <w:p>
      <w:r>
        <w:t>IT: GE_GERICHTE A/4356/2005 del 20 luglio 2005</w:t>
      </w:r>
    </w:p>
    <w:p>
      <w:pPr>
        <w:pStyle w:val="Heading2"/>
      </w:pPr>
      <w:r>
        <w:t>Regeste</w:t>
      </w:r>
    </w:p>
    <w:p>
      <w:r>
        <w:t>LP.39, LP.22, LP.43, ORC.52</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Une commination de faillite est une mesure sujette à plainte, que la débitrice en ayant reçu notification a qualité pour attaquer par cette voie. La plaignante a formé plainte en temps utile (art. 17 al. 2 LP), par un acte satisfaisant aux exigences de forme et de contenu prescrites par la loi (art. 13 al. 1 et 2 LaLP). La présente plainte est donc recevable. 2.a. La poursuite se continue par voie de faillite lorsque le débiteur est inscrit au registre du commerce en l’une ou l’autre des qualités énumérées à l’art. 39 LP, en particulier en qualité de « chef d’une raison individuelle (art. 934 et 935 CO) » (art. 39 ch. 1 LP). Le mode d’exécution forcée dit général que représente la faillite, par opposition au mode dit spécial qu’est la saisie (Walter A. Stoffel , Voies d’exécution, § 1 n° 26 ss), doit être suivi, à l’encontre d’un débiteur inscrit au registre du commerce sous une raison individuelle, indépendamment du point de savoir si ladite inscription est pour lui obligatoire ou facultative (art. 52 ss ORC ; Pierre-Robert Gilliéron , Commentaire, ad art. 39 n° 29). La personne physique ainsi assujettie à la poursuite par voie de faillite l’est pour l’ensemble de ses dettes, tant privées que commerciales (Dominique Rigot , in CR-LP, ad art. 39 n° 9 ss ; Domenico Acocella , in SchKG I, ad art. 39 n° 4 et 15 ss ; Kurt Amonn / Fridolin Walther , Grundriss, 7 ème éd. 2003, § 9 n° 3 ss). Le mode de continuer la poursuite est prescrit dans l’intérêt public et dans l’intérêt des personnes non parties à une procédure d’exécution forcée pendante, si bien que la violation des dispositions impératives qui le régissent, en particulier de l’art. 39 LP, constitue un motif de nullité, à constater en tout temps (art. 22 LP ; Pierre-Robert Gilliéron , Commentaire, ad art. 39 n° 18 ; Domenico Acocella , in SchKG I, ad art. 39 n° 5 ; Dominique Rigot , in CR-LP, ad art. 39 n° 8 ; Amonn / Fridolin Walther , Grundriss, 7 ème éd. 2003, § 9 n° 16 s.). 2.b. L’art. 43 LP prévoit des exceptions à l’assujettissement à la poursuite par voie de faillite, en considération de la nature de certaines prétentions à recouvrer, comme les impôts, amendes, contributions périodiques d’entretien. Les primes de l’assurance maladie même obligatoire dues à une compagnie d’assurance maladie organisée en société anonyme, comme l’est la poursuivante (CH-xxx-xxxxxxx-x), ne sont pas visées par ces exceptions (Dominique Rigot , in CR-LP, ad art. 43 n° 18).</w:t>
      </w:r>
    </w:p>
    <w:p>
      <w:r>
        <w:rPr>
          <w:b/>
        </w:rPr>
        <w:t>E. 3</w:t>
      </w:r>
    </w:p>
    <w:p>
      <w:r>
        <w:t>En l’espèce, il n’est pas contesté et est au surplus établi que la plaignante est inscrite au registre du commerce comme exploitante, sous une raison individuelle, d’un bureau d’architecture, ayant son siège à ___, Route ______ à Genève (CH-xxx-xxxxxxx-x). Cette inscription est décisive, quand bien même elle ne correspondrait plus à la réalité, notamment parce que la plaignante n’aurait plus de bureaux mais travaillerait à domicile (Domenico Acocella, in SchKG I, ad art. 39 n° 7 s.). La prétention faisant l’objet de la poursuite considérée n’est pas de celles en recouvrement desquelles l’art. 43 LP exclut la voie de la faillite (consid. 2.b). C’est donc à bon droit que l’Office a considéré que la poursuite considérée doit se continuer par voie de faillite.</w:t>
      </w:r>
    </w:p>
    <w:p>
      <w:r>
        <w:rPr>
          <w:b/>
        </w:rPr>
        <w:t>E. 4</w:t>
      </w:r>
    </w:p>
    <w:p>
      <w:r>
        <w:t>La présente plainte est mal fondée. Elle sera donc rejetée. La procédure de plainte est gratuite (art. 20a al. 1 phr. 1 LP ; art. 61 al. 2 let. a OELP). Il ne peut être alloué aucun dépens (art. 62 al. 2 OELP).</w:t>
      </w:r>
    </w:p>
    <w:p>
      <w:r>
        <w:rPr>
          <w:b/>
        </w:rPr>
        <w:t>E. 5</w:t>
      </w:r>
    </w:p>
    <w:p>
      <w:r>
        <w:t>Constatant que l’édition relative à la poursuite considérée tirée de l’application informatique utilisée par l’Office indique que la mainlevée complète de l’opposition a été accordée par décision administrative du 20 juillet 2005, la Commission de céans, intervenant spontanément, invite l’Office à prendre note, dans ses registres, que d’après ladite décision administrative, l’opposition n’a été levée qu’à concurrence d’un montant de 1'892,40 fr., soit à l’exclusion de 146 fr. de parts de primes relatives aux assurances complémentaires, et non à concurrence des 2'038 fr. pour lesquels la poursuite a été intentée. * * * * * PAR CES MOTIFS, LA COMMISSION DE SURVEILLANCE SIÉGEANT EN SECTION : A la forme : 1. Déclare recevable la plainte A/4356/2005 formée le 29 novembre 2005 par Mme S______ contre la commination de faillite notifiée à son encontre dans la poursuite n° 05 xxxx64 F. Au fond : 2. La rejette. 3. Déboute les parties de toute autre conclusion. 4. Invite l’Office des poursuites à prendre note, dans ses registres que l’opposition au commandement de payer n° 05 xxxx64 F n’a été levée qu’à concurrence d’un montant de 1'892,40 fr., soit à l’exclusion de 146 fr. de parts de primes relatives aux assurances complémentaires, et non à concurrence des 2'038 fr. pour lesquels la poursuite a été intentée. Siégeant : M. Raphaël MARTIN, président ; MM. Didier BROSSET et Denis MATHEY, juges assesseurs.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