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A/4350/2007 vom 19. Mai 2005</w:t>
      </w:r>
    </w:p>
    <w:p>
      <w:r>
        <w:t>GE Cour de justice, 2005-05-19, FR</w:t>
      </w:r>
    </w:p>
    <w:p>
      <w:r>
        <w:rPr>
          <w:b/>
        </w:rPr>
        <w:t xml:space="preserve">Quelle: </w:t>
      </w:r>
      <w:r>
        <w:t>https://mcp.opencaselaw.ch/entscheid/ge_gerichte_A_4350_2007</w:t>
      </w:r>
    </w:p>
    <w:p>
      <w:r>
        <w:t>FR: GE_GERICHTE A/4350/2007 du 19 mai 2005</w:t>
      </w:r>
    </w:p>
    <w:p>
      <w:r>
        <w:t>IT: GE_GERICHTE A/4350/2007 del 19 maggio 2005</w:t>
      </w:r>
    </w:p>
    <w:p>
      <w:pPr>
        <w:pStyle w:val="Heading2"/>
      </w:pPr>
      <w:r>
        <w:t>Volltext</w:t>
      </w:r>
    </w:p>
    <w:p>
      <w:r>
        <w:t>Genève Cour de justice (Cour de droit public) Chambre des assurances sociales 14.08.2008 A/4350/2007</w:t>
      </w:r>
    </w:p>
    <w:p>
      <w:r>
        <w:t>A/4350/2007 ATAS/887/2008 du 14.08.2008 ( AI ) , PARTIELMNT ADMIS RÉPUBLIQUE ET CANTON DE GENÈVE POUVOIR JUDICIAIRE A/4350/2007 ATAS/887/2008 ARRET DU TRIBUNAL CANTONAL DES ASSURANCES SOCIALES Chambre 3 du 14 août 2008 En la cause Monsieur D_________, domicilié au GRAND-LANCY, comparant avec élection de domicile en l'étude de Maître HORNUNG Douglas recourant contre OFFICE CANTONAL DE L'ASSURANCE-INVALIDITE, sis rue de Lyon 97, GENEVE intimé ATTENDU EN FAIT Que Monsieur D_________, cuisinier-vendeur de profession, a déposé une demande de prestations auprès de l'Office cantonal de l'assurance-invalidité (ci-après : OCAI) en date du 30 juin 1999; Que par décision du 19 mai 2005, l'OCAI a rejeté sa demande, au motif que l'assuré ne présentait qu'un degré d'invalidité de 20 %, insuffisant pour pouvoir bénéficier d'une rente; Que cette décision a été confirmée sur opposition en date du 15 juillet 2005, mais annulée par jugement du Tribunal cantonal des assurances sociales du 29 mars 2006 ( ATAS/340/2006 ) et la cause renvoyée à l'OCAI afin que ce dernier mette en œuvre une expertise pluridisciplinaire et rende une nouvelle décision; Que par décision du 11 octobre 2007, l'OCAI a reconnu à l'assuré un degré d'invalidité de 51 % et lui a octroyé une demi-rente d'invalidité à compter du 1 er janvier 2000; Que par courrier du 10 novembre 2007, l'assuré a interjeté recours contre cette décision; Qu'invité à se déterminer, l'OCAI, dans sa réponse du 20 décembre 2007, a conclu au rejet du recours; Que par courrier du 7 avril 2008, Me Douglas HORNUNG a informé le Tribunal de céans qu'il était constitué pour la défense des intérêts de l'assuré; Qu'une audience de comparution personnelle s'est tenue en date du 11 avril 2008, à la suite de laquelle l'assuré s'est vu impartir un délai pour produire de nouveaux documents médicaux; Qu'il s'est exécuté en dates des 25 avril et 30 mai 2008; Que ces documents ont été soumis à l'OCAI qui, par courrier du 15 juillet 2008, après avoir consulté le Service médical régional AI (SMR), a estimé nécessaire de procéder à un complément d'expertise afin de permettre de réactualiser l'atteinte à la santé et ses répercussions sur la capacité de travail de l'assuré compte tenu des éléments médicaux mis en avant dans le cadre du recours; Que l'OCAI a suggéré que ce complément d'expertise soit effectué soit par lui-même, soit par le Tribunal de céans; Qu'invité à se déterminer sur la proposition de renvoyer le dossier à l'OCAI pour instruction complémentaire et nouvelle décision, l'assuré, par courrier du 1 er août 2008, s'est déclaré prêt à subir une nouvelle expertise;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Que la compétence du Tribunal de céans pour juger du cas d’espèce est ainsi établie; Que le recours, déposé dans les forme et délai prévus par la loi, est recevable; Que le litige porte sur la mesure dans laquelle le recourant a droit aux prestations de l'assurance-invalidité; Qu'il convient dès lors de déterminer au préalable quelles sont les répercussions exactes de son état de santé sur sa capacité de travail;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pour déterminer les répercussions de l'état de santé de l'assuré sur sa capacité de travail; Qu'un complément d'expertise a d'ailleurs été proposé par l'OCAI et accueilli favorablement par le recourant; Que la cause n'étant, de l'avis du Tribunal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PAR CES MOTIFS, LE TRIBUNAL CANTONAL DES ASSURANCES SOCIALES : Statuant A la forme : Déclare le recours recevable. Au fond : L'admet partiellement au sens des considérants. Renvoie la cause à l'intimé pour instruction complémentaire et nouvelle décision. Condamne l’intimé à verser au recourant la somme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