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A/4349/2011 vom 21. Februar 2012</w:t>
      </w:r>
    </w:p>
    <w:p>
      <w:r>
        <w:t>GE Cour de justice, 2012-02-21, FR</w:t>
      </w:r>
    </w:p>
    <w:p>
      <w:r>
        <w:rPr>
          <w:b/>
        </w:rPr>
        <w:t xml:space="preserve">Quelle: </w:t>
      </w:r>
      <w:r>
        <w:t>https://mcp.opencaselaw.ch/entscheid/ge_gerichte_A_4349_2011</w:t>
      </w:r>
    </w:p>
    <w:p>
      <w:r>
        <w:t>FR: GE_GERICHTE A/4349/2011 du 21 février 2012</w:t>
      </w:r>
    </w:p>
    <w:p>
      <w:r>
        <w:t>IT: GE_GERICHTE A/4349/2011 del 21 febbraio 2012</w:t>
      </w:r>
    </w:p>
    <w:p>
      <w:pPr>
        <w:pStyle w:val="Heading2"/>
      </w:pPr>
      <w:r>
        <w:t>Volltext</w:t>
      </w:r>
    </w:p>
    <w:p>
      <w:r>
        <w:t>Genève Cour de justice (Cour de droit public) Chambre des assurances sociales 21.02.2012 A/4349/2011</w:t>
      </w:r>
    </w:p>
    <w:p>
      <w:r>
        <w:t>A/4349/2011 ATAS/136/2012 du 21.02.2012 ( LAA ) , RETIRE RÉPUBLIQUE ET CANTON DE GENÈVE POUVOIR JUDICIAIRE A/4349/2011 ATAS/136/2012 COUR DE JUSTICE Chambre des assurances sociales Arrêt du 21 février 2012 2ème Chambre En la cause Monsieur N__________, domicilié à CAROUGE, comparant avec élection de domicile en l'étude de Maître TAMISIER Christian recourant contre GROUPE MUTUEL ASSURANCES GMA SA, Rue du Nord 5, 1920 MARTIGNY intimé Vu la décision sur opposition du 15 novembre 2011, Vu le recours du 16 décembre 2011, Vu la réponse du 23 janvier 2012, Vu le courrier du recourant du 14 février 2012, indiquant qu'il retire son recours, au vu des renseignements complémentaires obtenus de ses médecins qui tendent à considérer que ses troubles sont effectivement liés à un état maladif antérieur; Qu'il convient d'en prendre acte et de rayer la cause du rôle. PAR CES MOTIFS, LA CHAMBRE DES ASSURANCES SOCIALES : Prend acte du retrait du recours. Raye la cause du rôle. La greffière Irène PONCET La Présidente :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