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A/4345/2010 vom 27. September 2011</w:t>
      </w:r>
    </w:p>
    <w:p>
      <w:r>
        <w:t>GE Cour de justice, 2011-09-27, FR</w:t>
      </w:r>
    </w:p>
    <w:p>
      <w:r>
        <w:rPr>
          <w:b/>
        </w:rPr>
        <w:t xml:space="preserve">Quelle: </w:t>
      </w:r>
      <w:r>
        <w:t>https://mcp.opencaselaw.ch/entscheid/ge_gerichte_A_4345_2010</w:t>
      </w:r>
    </w:p>
    <w:p>
      <w:r>
        <w:t>FR: GE_GERICHTE A/4345/2010 du 27 septembre 2011</w:t>
      </w:r>
    </w:p>
    <w:p>
      <w:r>
        <w:t>IT: GE_GERICHTE A/4345/2010 del 27 settembre 2011</w:t>
      </w:r>
    </w:p>
    <w:p>
      <w:pPr>
        <w:pStyle w:val="Heading2"/>
      </w:pPr>
      <w:r>
        <w:t>Erwägungen</w:t>
      </w:r>
    </w:p>
    <w:p>
      <w:r>
        <w:rPr>
          <w:b/>
        </w:rPr>
        <w:t>E. 2</w:t>
      </w:r>
    </w:p>
    <w:p>
      <w:r>
        <w:t>Le 17 octobre 2010, un incident s’est produit dans la cellule occupée par l’intéressé et d’autres codétenus : ces derniers avaient obstrué l’ouverture située au-dessus de la porte des toilettes nonobstant l’interdiction qui leur en avait été faite la veille par un gardien. Ce dernier a alors décidé que les intéressés mangeraient dans leur cellule durant trois jours, au lieu de prendre leur repas en commun dans le corridor avec d’autres détenus de l’étage.</w:t>
      </w:r>
    </w:p>
    <w:p>
      <w:r>
        <w:rPr>
          <w:b/>
        </w:rPr>
        <w:t>E. 3</w:t>
      </w:r>
    </w:p>
    <w:p>
      <w:r>
        <w:t>En date du 27 octobre 2010, le conseil de M. C______ s’est adressé à la direction générale de l’office pénitentiaire (ci-après : l’office). L’intéressé avait été puni une semaine, devant rester dans sa cellule à cause du comportement de l’un de ses codétenus ayant accroché du papier sur la porte. Il n’avait reçu aucune décision à ce sujet et demandait qu’une décision formelle et motivée lui soit notifiée.</w:t>
      </w:r>
    </w:p>
    <w:p>
      <w:r>
        <w:rPr>
          <w:b/>
        </w:rPr>
        <w:t>E. 4</w:t>
      </w:r>
    </w:p>
    <w:p>
      <w:r>
        <w:t>Le 19 novembre 2010, l’office a répondu qu’un incident disciplinaire collectif avait bien eu lieu dans la cellule de M. C______ le 17 octobre 2010. Dans le cadre des mesures d’organisation interne prises pour régler des violations bénignes du règlement sur le régime intérieur de la prison et le statut des personnes incarcérées du 30 septembre 1985 (RRIP - F 1 50.04), les occupants de cette cellule avaient été privés de prendre leurs repas à l’intérieur de celle-ci pendant les trois jours suivants. La prise des repas en commun ne constituait pas la règle au sein de la prison et il ne s’agissait pas d’un droit garanti aux détenus. Aucune décision n’avait été notifiée puisqu’il ne s’agissait pas d’une sanction mais d’une mesure d’organisation interne.</w:t>
      </w:r>
    </w:p>
    <w:p>
      <w:r>
        <w:rPr>
          <w:b/>
        </w:rPr>
        <w:t>E. 5</w:t>
      </w:r>
    </w:p>
    <w:p>
      <w:r>
        <w:t>Par acte du 22 décembre 2010, M. C______ a recouru auprès du Tribunal administratif, devenu la chambre administrative de la Cour de Justice (ci-après : la chambre administrative) contre le courrier susmentionné, soutenant qu’il s’agissait d’une décision. Il conclut à son annulation et au renvoi de la cause à l’autorité intimée afin qu’elle instruise l’incident du 17 octobre 2010 et rende une décision formelle.</w:t>
      </w:r>
    </w:p>
    <w:p>
      <w:r>
        <w:rPr>
          <w:b/>
        </w:rPr>
        <w:t>E. 6</w:t>
      </w:r>
    </w:p>
    <w:p>
      <w:r>
        <w:t>Le 30 janvier 2011, l’office a conclu à l’irrecevabilité du recours. Le courrier du 19 novembre 2010 était une simple correspondance donnant au conseil de M. C______ une réponse à une question. Il n’était pas une décision et ne créait aucun droit à une action de l’administration. Pour le surplus, le recours devait être rejeté, la mesure contestée n’étant pas une sanction disciplinaire, mais une mesure d’organisation interne tenant à assurer le bon fonctionnement de l’institution en permettant de circonscrire un incident collectif. Enfin, M. C______ ne s’était pas adressé à la bonne autorité, la mesure en cause étant de la compétence de la prison et non de l’office pénitentiaire.</w:t>
      </w:r>
    </w:p>
    <w:p>
      <w:r>
        <w:rPr>
          <w:b/>
        </w:rPr>
        <w:t>E. 7</w:t>
      </w:r>
    </w:p>
    <w:p>
      <w:r>
        <w:t>Le 3 février 2011, M. C______ a persisté dans son recours. L’office était compétent pour trancher la question de principe litigieuse, étant hiérarchiquement supérieur à la prison. L’administration discrétionnaire n’existait plus et il avait droit à ce que toute mesure portant atteinte à sa situation, même de manière négligeable, fasse l’objet d’une décision pouvant être contrôlée par le juge.</w:t>
      </w:r>
    </w:p>
    <w:p>
      <w:r>
        <w:rPr>
          <w:b/>
        </w:rPr>
        <w:t>E. 8</w:t>
      </w:r>
    </w:p>
    <w:p>
      <w:r>
        <w:t>Le 15 juin 2011, dans le cadre d’une procédure parallèle à la présente cause, concernant l’octroi de l’assistance juridique à l’intéressé, le Tribunal fédéral a confirmé le refus du vice-président de la Cour de justice d’accorder cette assistance juridique. Il a notamment retenu que la mesure contestée n’avait pas le caractère d’une sanction touchant les droits de M. C______, de sorte qu’elle ne pouvait faire l’objet d’un recours (Arrêt du Tribunal fédéral 1B_171/2011 ).</w:t>
      </w:r>
    </w:p>
    <w:p>
      <w:r>
        <w:rPr>
          <w:b/>
        </w:rPr>
        <w:t>E. 9</w:t>
      </w:r>
    </w:p>
    <w:p>
      <w:r>
        <w:t>Interpellé par le juge délégué suite à l’arrêt susmentionné, M. C______ a maintenu son recours, le fait de devoir prendre son repas en cellule, contrairement à la situation normale découlant de la pratique de la prison, constituant en tout cas une atteinte à la liberté personnelle, à tout le moins dans sa composante relative à la liberté de mouvement dont il s’était de facto retrouvé privé. Le contrôle judiciaire devait donc être ouvert.</w:t>
      </w:r>
    </w:p>
    <w:p>
      <w:r>
        <w:rPr>
          <w:b/>
        </w:rPr>
        <w:t>E. 10</w:t>
      </w:r>
    </w:p>
    <w:p>
      <w:r>
        <w:t>Le 6 juillet 2011,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de ce point de vue (art. 56A loi sur l’organisation judiciaire du 22 novembre 1941 aLOJ ; art. 63 al. al.1 de la loi sur la procédure administrative du 12 septembre 1985, dans sa teneur au 31 décembre 2010 - LPA - E 5 10). 3. La nature juridique du courrier de l’office peut demeurer ouverte, vu ce qui suit. 4.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ne constituent pas des décisions, notamment, les mesures d’organisation administrative qui sont aussi qualifiées d’actes internes ou d’organisation de l’administration et qui s’adressent à leurs destinataires en qualité d’organe, d’agent d’auxiliaire ou de service chargé de gérer une tâche publique sans autonomie. Le destinataire n’est donc pas un administré mais l’administration. En principe, ces actes n’ont pas d’effets juridiques sur l’administré, même s’ils peuvent avoir des conséquences pratiques ou indirectes sur lui (B. BOVAY, Procédure administrative, Berne 2000, p. 261). 5. Par ailleurs, toute personne qui a un intérêt digne de protection peut exiger de l’autorité compétente pour des actes fondés sur le droit fédéral, cantonal ou communal et touchant à des droits ou des obligations qu’elle s’abstienne d’actes illicites, cesse de les accomplir ou les révoque (art. 4A al. 1 let. a LPA), élimine les conséquences d’actes illicites (art. 4A al.1 let b LPA) ou constate le caractère illicite de tels actes (art. 4A al. 1 let c LPA). L’autorité statue par décision (Art. 4A al. 2 LPA). 6. En l’espèce, le recourant se plaint du refus de la direction de rendre une décision formelle relative à l’obligation qui lui a été faite de prendre ses repas dans sa cellule avec ses co-détenus pendant trois jours, obligation constituant une sanction commune pour le comportement de l’un d’entre eux. Selon l’art. 1 al. 3 de la loi sur l’organisation et le personnel de la prison du 21 juin 1984 (LOPP - F 1 50) le Conseil d’Etat fixe, par règlement, le régime intérieur de la prison et le statut des personnes incarcérées. Sur cette base, il a édicté le règlement sur le régime intérieur de la prison et le statut des personnes incarcérées du 30 septembre 1985 (RRIP - F 1 50.04), qui prévoit d’une manière générale que les détenus doivent observer les dispositions du présent règlement, les instructions du directeur de l’office pénitentiaire, les ordres du directeur et des fonctionnaires de la prison et observer en toute circonstance une attitude correcte à l’égard du personnel de la prison, des autres personnes incarcérées et des tiers (art. 42 et 43 RRIP). En cas d’infraction au RRIP, un détenu peut faire l’objet des sanctions suivantes, ordonnées par le directeur de la prison : suppression de visite pour quinze jours au plus ; suppression des promenades collectives ; suppression d’achat pour quinze jours au plus ; suppression de l’usage des moyens audiovisuels pour quinze jours au plus ; privation de travail ; placement en cellule forte pour cinq jours au plus (art. 47 al. 3 RRIP). Le placement en cellule forte pour dix jours au plus est de la compétence du directeur de l’office (art. 47 al. 4 RRIP). Il n’y a pas d’autres sanctions prévues. 7. Le RRIP ne prévoit aucune modalité pour les repas, hormis le fait qu’ils sont préparés par la cuisine de l’établissement (art. 19 al. 1 RRIP). En particulier il ne définit pas s’ils doivent ou peuvent être pris en commun ou en cellule et l’office a indiqué, sans être contredit, que la prise en commun des repas ne constituait pas la règle. Le recourant ne peut ainsi se prévaloir d’aucun droit à prendre ses repas en commun. Il n’indique pas par ailleurs en quoi il aurait été atteint par le fait de devoir prendre ses repas en cellule en compagnie de ses codétenus. Ainsi, les décisions relatives à la prise en commun ou en cellule des repas relèvent exclusivement de l’organisation interne de l’établissement pénitentiaire et, dès lors, ne sont pas susceptibles de recours au sens de l’art. 4 LPA, ni a fortiori de devoir faire l’objet d’une décision formelle en application de l’art. 4A LPA. 8. Au vu de ce qui précède, le recours sera rejeté. Vu la nature du litige aucun émolument ne sera perçu et vu son issue, aucune indemnité de procédure ne sera allouée au recourant (art. 87 LPA ;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